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480F78" w:rsidRDefault="00482D79" w:rsidP="00480F78">
      <w:pPr>
        <w:spacing w:line="240" w:lineRule="auto"/>
        <w:ind w:left="-851"/>
        <w:jc w:val="center"/>
        <w:rPr>
          <w:rFonts w:ascii="Arial" w:hAnsi="Arial" w:cs="Arial"/>
          <w:sz w:val="40"/>
          <w:szCs w:val="40"/>
          <w:lang w:val="en-US"/>
        </w:rPr>
      </w:pPr>
      <w:r w:rsidRPr="00480F78">
        <w:rPr>
          <w:rFonts w:ascii="Arial" w:hAnsi="Arial" w:cs="Arial"/>
          <w:sz w:val="40"/>
          <w:szCs w:val="40"/>
          <w:lang w:val="en-US"/>
        </w:rPr>
        <w:t>Two Seas</w:t>
      </w:r>
    </w:p>
    <w:p w:rsidR="00E613A3" w:rsidRDefault="00900577"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anchor distT="0" distB="0" distL="114300" distR="114300" simplePos="0" relativeHeight="251681280" behindDoc="0" locked="0" layoutInCell="1" allowOverlap="1">
            <wp:simplePos x="0" y="0"/>
            <wp:positionH relativeFrom="column">
              <wp:posOffset>2872740</wp:posOffset>
            </wp:positionH>
            <wp:positionV relativeFrom="paragraph">
              <wp:posOffset>3811270</wp:posOffset>
            </wp:positionV>
            <wp:extent cx="915035" cy="414655"/>
            <wp:effectExtent l="19050" t="0" r="0" b="0"/>
            <wp:wrapNone/>
            <wp:docPr id="5"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11" cstate="print"/>
                    <a:srcRect/>
                    <a:stretch>
                      <a:fillRect/>
                    </a:stretch>
                  </pic:blipFill>
                  <pic:spPr bwMode="auto">
                    <a:xfrm>
                      <a:off x="0" y="0"/>
                      <a:ext cx="915035" cy="414655"/>
                    </a:xfrm>
                    <a:prstGeom prst="rect">
                      <a:avLst/>
                    </a:prstGeom>
                    <a:noFill/>
                    <a:ln w="9525">
                      <a:noFill/>
                      <a:miter lim="800000"/>
                      <a:headEnd/>
                      <a:tailEnd/>
                    </a:ln>
                  </pic:spPr>
                </pic:pic>
              </a:graphicData>
            </a:graphic>
          </wp:anchor>
        </w:drawing>
      </w:r>
      <w:r w:rsidR="00482D79">
        <w:rPr>
          <w:rFonts w:ascii="Arial" w:hAnsi="Arial" w:cs="Arial"/>
          <w:noProof/>
          <w:sz w:val="32"/>
          <w:szCs w:val="32"/>
          <w:lang w:val="en-US"/>
        </w:rPr>
        <w:drawing>
          <wp:inline distT="0" distB="0" distL="0" distR="0">
            <wp:extent cx="2676525" cy="4572000"/>
            <wp:effectExtent l="19050" t="0" r="9525" b="0"/>
            <wp:docPr id="7" name="Bild 1" descr="P:\LU_2011_ESPON_TerrEvi_100269\03_Project development\Dani\Cover Maps\Two_S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Dani\Cover Maps\Two_Seas.jpg"/>
                    <pic:cNvPicPr>
                      <a:picLocks noChangeAspect="1" noChangeArrowheads="1"/>
                    </pic:cNvPicPr>
                  </pic:nvPicPr>
                  <pic:blipFill>
                    <a:blip r:embed="rId12" cstate="print"/>
                    <a:srcRect/>
                    <a:stretch>
                      <a:fillRect/>
                    </a:stretch>
                  </pic:blipFill>
                  <pic:spPr bwMode="auto">
                    <a:xfrm>
                      <a:off x="0" y="0"/>
                      <a:ext cx="2676525" cy="4572000"/>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BC65E1" w:rsidRDefault="00BC65E1" w:rsidP="00337519">
      <w:pPr>
        <w:spacing w:after="0" w:line="240" w:lineRule="auto"/>
        <w:ind w:left="-851"/>
        <w:rPr>
          <w:rFonts w:ascii="Arial" w:hAnsi="Arial" w:cs="Arial"/>
          <w:sz w:val="32"/>
          <w:szCs w:val="32"/>
          <w:lang w:val="en-US"/>
        </w:rPr>
      </w:pPr>
    </w:p>
    <w:p w:rsidR="00480F78" w:rsidRDefault="00480F78" w:rsidP="00480F78">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480F78" w:rsidRDefault="00480F78" w:rsidP="00480F78">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3"/>
          <w:footerReference w:type="even" r:id="rId14"/>
          <w:footerReference w:type="default" r:id="rId15"/>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981909" w:rsidRPr="0085195F" w:rsidRDefault="000A647A" w:rsidP="00981909">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981909" w:rsidRPr="0085195F">
        <w:t>This is intended as an electronic publication so map quality is generally high to allow users to zoom into specific territories.</w:t>
      </w:r>
    </w:p>
    <w:p w:rsidR="000A647A" w:rsidRDefault="00981909" w:rsidP="00981909">
      <w:pPr>
        <w:shd w:val="clear" w:color="auto" w:fill="FFFFFF"/>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0F0C99" w:rsidRDefault="000F0C99" w:rsidP="000F0C99">
      <w:r>
        <w:t>In the following the traffic light for each indicator represents how your programme territory compares to wider European and national medians where green = your programme area performs better for that indicator, yel</w:t>
      </w:r>
      <w:r w:rsidR="00981909">
        <w:t>low = similar, and red = worse.</w:t>
      </w:r>
    </w:p>
    <w:p w:rsidR="004D27BA" w:rsidRDefault="004D27BA" w:rsidP="004D27BA">
      <w:r>
        <w:t>In creating the traffic</w:t>
      </w:r>
      <w:r w:rsidR="000F0C99">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D403B4" w:rsidRPr="00973E76" w:rsidRDefault="00D403B4" w:rsidP="00D403B4">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337872" w:rsidRDefault="00337872" w:rsidP="00337872">
      <w:pPr>
        <w:pStyle w:val="Heading3"/>
      </w:pPr>
      <w:r w:rsidRPr="00300512">
        <w:t>Smart growth</w:t>
      </w:r>
      <w:r w:rsidRPr="00337872">
        <w:t xml:space="preserve"> </w:t>
      </w:r>
    </w:p>
    <w:p w:rsidR="00337872" w:rsidRDefault="007C1610" w:rsidP="00C33A99">
      <w:r>
        <w:rPr>
          <w:noProof/>
          <w:lang w:val="en-US"/>
        </w:rPr>
        <w:drawing>
          <wp:anchor distT="0" distB="0" distL="114300" distR="114300" simplePos="0" relativeHeight="251690496" behindDoc="1" locked="0" layoutInCell="1" allowOverlap="1">
            <wp:simplePos x="0" y="0"/>
            <wp:positionH relativeFrom="column">
              <wp:posOffset>-3810</wp:posOffset>
            </wp:positionH>
            <wp:positionV relativeFrom="paragraph">
              <wp:posOffset>581660</wp:posOffset>
            </wp:positionV>
            <wp:extent cx="5273675" cy="2296160"/>
            <wp:effectExtent l="19050" t="0" r="3175" b="0"/>
            <wp:wrapTight wrapText="bothSides">
              <wp:wrapPolygon edited="0">
                <wp:start x="-78" y="0"/>
                <wp:lineTo x="-78" y="20608"/>
                <wp:lineTo x="21613" y="20608"/>
                <wp:lineTo x="21613" y="0"/>
                <wp:lineTo x="-78" y="0"/>
              </wp:wrapPolygon>
            </wp:wrapTight>
            <wp:docPr id="8" name="Bild 1" descr="C:\Dokumente und Einstellungen\pucher\Desktop\TL_CBC1\CBC_TL_Two_Seas_BE&amp;NL&amp;FR&amp;UK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Desktop\TL_CBC1\CBC_TL_Two_Seas_BE&amp;NL&amp;FR&amp;UK1a.png"/>
                    <pic:cNvPicPr>
                      <a:picLocks noChangeAspect="1" noChangeArrowheads="1"/>
                    </pic:cNvPicPr>
                  </pic:nvPicPr>
                  <pic:blipFill>
                    <a:blip r:embed="rId16" cstate="print"/>
                    <a:srcRect/>
                    <a:stretch>
                      <a:fillRect/>
                    </a:stretch>
                  </pic:blipFill>
                  <pic:spPr bwMode="auto">
                    <a:xfrm>
                      <a:off x="0" y="0"/>
                      <a:ext cx="5273675" cy="2296160"/>
                    </a:xfrm>
                    <a:prstGeom prst="rect">
                      <a:avLst/>
                    </a:prstGeom>
                    <a:noFill/>
                    <a:ln w="9525">
                      <a:noFill/>
                      <a:miter lim="800000"/>
                      <a:headEnd/>
                      <a:tailEnd/>
                    </a:ln>
                  </pic:spPr>
                </pic:pic>
              </a:graphicData>
            </a:graphic>
          </wp:anchor>
        </w:drawing>
      </w:r>
      <w:r w:rsidR="000D7CC4">
        <w:t xml:space="preserve">Smart growth refers to </w:t>
      </w:r>
      <w:r w:rsidR="000D7CC4" w:rsidRPr="000D7CC4">
        <w:t>developing an economy based on knowledge and innovation.</w:t>
      </w:r>
      <w:r w:rsidR="000D7CC4">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7C1610" w:rsidRDefault="007C1610" w:rsidP="00C33A99"/>
    <w:p w:rsidR="00300512" w:rsidRPr="00382FE0" w:rsidRDefault="00300512" w:rsidP="00300512">
      <w:pPr>
        <w:spacing w:before="120"/>
      </w:pPr>
      <w:r w:rsidRPr="00E9150A">
        <w:t xml:space="preserve">According to all indicators reported above, the Two Seas CBC area performs at a better level than the EU27+4 space and all CBC ones. Considering the objective of R&amp;D expenditure of  percentage of the GDP - one of the five headline targets in </w:t>
      </w:r>
      <w:r w:rsidRPr="00382FE0">
        <w:t xml:space="preserve">the Europe 2020 Strategy - the CBC area is still in a better position than the EU27+4 space and all CBC. Moreover, the CBC area is characterized by a high level of internal disparity and performs at the same level as Belgium, France, Netherlands and United Kingdom. </w:t>
      </w:r>
    </w:p>
    <w:p w:rsidR="00300512" w:rsidRPr="00382FE0" w:rsidRDefault="00300512" w:rsidP="00300512">
      <w:r w:rsidRPr="00382FE0">
        <w:lastRenderedPageBreak/>
        <w:t xml:space="preserve">Concerning the ratio of employment in knowledge-intensive service to the total employment in 2010, the CBC area has higher values than the EU27+4 space and all CBCs; slightly lower than Belgium, higher than France. Two Seas CBC area has a similar performance to Netherlands and United Kingdom. The distribution inside the CBC results in a low level of internal disparity. </w:t>
      </w:r>
    </w:p>
    <w:p w:rsidR="00300512" w:rsidRPr="00382FE0" w:rsidRDefault="00300512" w:rsidP="00300512">
      <w:r w:rsidRPr="00382FE0">
        <w:t>In terms of the percentage of individuals regularly using internet in 2011, the CBC area has higher values than EU27+4 space, all CBCs, Belgium, France and Netherlands, but it performs slightly worse than Netherlands, with a low internal disparity.</w:t>
      </w:r>
    </w:p>
    <w:p w:rsidR="00F47EE6" w:rsidRPr="00382FE0" w:rsidRDefault="00F47EE6" w:rsidP="00F47EE6">
      <w:r w:rsidRPr="00382FE0">
        <w:t xml:space="preserve">According to the classification of the KIT project, MAP 1 identifies two territorial patterns of innovation:  </w:t>
      </w:r>
    </w:p>
    <w:p w:rsidR="00F47EE6" w:rsidRPr="00000C96" w:rsidRDefault="00F47EE6" w:rsidP="00F47EE6">
      <w:pPr>
        <w:pStyle w:val="ListParagraph"/>
        <w:numPr>
          <w:ilvl w:val="0"/>
          <w:numId w:val="14"/>
        </w:numPr>
        <w:spacing w:line="240" w:lineRule="atLeast"/>
        <w:rPr>
          <w:szCs w:val="20"/>
        </w:rPr>
      </w:pPr>
      <w:r w:rsidRPr="00000C96">
        <w:rPr>
          <w:rFonts w:cstheme="minorHAnsi"/>
          <w:szCs w:val="20"/>
        </w:rPr>
        <w:t xml:space="preserve">‘Smart and creative diversification area’ in the French </w:t>
      </w:r>
      <w:r w:rsidRPr="00000C96">
        <w:rPr>
          <w:rFonts w:cs="Arial"/>
        </w:rPr>
        <w:t xml:space="preserve">Nord and Pas de Calais </w:t>
      </w:r>
      <w:r w:rsidRPr="00000C96">
        <w:rPr>
          <w:rFonts w:cstheme="minorHAnsi"/>
          <w:szCs w:val="20"/>
        </w:rPr>
        <w:t>and Dutch sides and the British regions of</w:t>
      </w:r>
      <w:r w:rsidRPr="00000C96">
        <w:rPr>
          <w:rFonts w:cs="Arial"/>
        </w:rPr>
        <w:t xml:space="preserve"> Cornwall and Isles of Scilly</w:t>
      </w:r>
      <w:r w:rsidRPr="00000C96">
        <w:rPr>
          <w:rFonts w:cstheme="minorHAnsi"/>
          <w:szCs w:val="20"/>
        </w:rPr>
        <w:t xml:space="preserve">. It is defined by a low degree of local diversified applied knowledge, internal innovation capacity, high degree of local competences, creativity and entrepreneurship, external knowledge embedded in technical and organizational capabilities;  </w:t>
      </w:r>
    </w:p>
    <w:p w:rsidR="00F47EE6" w:rsidRPr="00000C96" w:rsidRDefault="00F47EE6" w:rsidP="00F47EE6">
      <w:pPr>
        <w:pStyle w:val="ListParagraph"/>
        <w:numPr>
          <w:ilvl w:val="0"/>
          <w:numId w:val="14"/>
        </w:numPr>
        <w:spacing w:line="240" w:lineRule="atLeast"/>
        <w:rPr>
          <w:szCs w:val="20"/>
        </w:rPr>
      </w:pPr>
      <w:r w:rsidRPr="00000C96">
        <w:rPr>
          <w:rFonts w:cstheme="minorHAnsi"/>
          <w:szCs w:val="20"/>
        </w:rPr>
        <w:t>‘Applied science area’, in the Belgian part</w:t>
      </w:r>
      <w:r w:rsidRPr="00000C96">
        <w:rPr>
          <w:rFonts w:cs="Arial"/>
        </w:rPr>
        <w:t xml:space="preserve"> i.e. the districts of Antwerpen, Brugge, Oostende, Veurne, Eeklo, Gent, Sint-Niklaas</w:t>
      </w:r>
      <w:r w:rsidRPr="00000C96">
        <w:rPr>
          <w:rFonts w:cstheme="minorHAnsi"/>
          <w:szCs w:val="20"/>
        </w:rPr>
        <w:t xml:space="preserve">. It is associated to </w:t>
      </w:r>
      <w:r w:rsidRPr="00000C96">
        <w:rPr>
          <w:szCs w:val="20"/>
        </w:rPr>
        <w:t>a quite high generality and originality of science-based local knowledge, and a high degree of attractiveness of knowledge coming from other regions</w:t>
      </w:r>
      <w:r>
        <w:rPr>
          <w:szCs w:val="20"/>
        </w:rPr>
        <w:t>;</w:t>
      </w:r>
      <w:r w:rsidRPr="00000C96">
        <w:rPr>
          <w:szCs w:val="20"/>
        </w:rPr>
        <w:t xml:space="preserve"> </w:t>
      </w:r>
    </w:p>
    <w:p w:rsidR="00F47EE6" w:rsidRPr="00000C96" w:rsidRDefault="00F47EE6" w:rsidP="00F47EE6">
      <w:pPr>
        <w:pStyle w:val="ListParagraph"/>
        <w:numPr>
          <w:ilvl w:val="0"/>
          <w:numId w:val="14"/>
        </w:numPr>
        <w:spacing w:line="240" w:lineRule="atLeast"/>
        <w:rPr>
          <w:szCs w:val="20"/>
        </w:rPr>
      </w:pPr>
      <w:r w:rsidRPr="00000C96">
        <w:rPr>
          <w:rFonts w:cstheme="minorHAnsi"/>
          <w:szCs w:val="20"/>
        </w:rPr>
        <w:t>‘Smart technological application area’, in the rest of the British side. It is defined by a high product innovation level, with a limited degree of local applied science and R&amp;D endowment, and a high creativity which allows translating external basic science and applied science knowledge into innovation.</w:t>
      </w:r>
    </w:p>
    <w:p w:rsidR="00440716" w:rsidRDefault="00440716" w:rsidP="00B92990"/>
    <w:p w:rsidR="00440716" w:rsidRDefault="00440716" w:rsidP="00B92990"/>
    <w:p w:rsidR="00D603F1" w:rsidRDefault="00D603F1">
      <w:pPr>
        <w:spacing w:after="0" w:line="240" w:lineRule="auto"/>
        <w:jc w:val="left"/>
        <w:rPr>
          <w:szCs w:val="20"/>
        </w:rPr>
      </w:pPr>
      <w:r>
        <w:rPr>
          <w:szCs w:val="20"/>
        </w:rPr>
        <w:br w:type="page"/>
      </w:r>
    </w:p>
    <w:p w:rsidR="008A3B96" w:rsidRPr="004E39BD" w:rsidRDefault="00337872" w:rsidP="008A3B96">
      <w:pPr>
        <w:rPr>
          <w:b/>
        </w:rPr>
      </w:pPr>
      <w:r w:rsidRPr="004E39BD">
        <w:rPr>
          <w:b/>
        </w:rPr>
        <w:lastRenderedPageBreak/>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w:t>
      </w:r>
      <w:r w:rsidR="00482D79">
        <w:rPr>
          <w:b/>
        </w:rPr>
        <w:t xml:space="preserve"> Two Seas</w:t>
      </w:r>
    </w:p>
    <w:p w:rsidR="008A3B96" w:rsidRDefault="008A3B96" w:rsidP="008A3B96"/>
    <w:p w:rsidR="008A3B96" w:rsidRDefault="005032A3" w:rsidP="008A3B96">
      <w:pPr>
        <w:spacing w:after="0" w:line="240" w:lineRule="auto"/>
      </w:pPr>
      <w:r w:rsidRPr="005032A3">
        <w:rPr>
          <w:noProof/>
          <w:lang w:val="de-DE" w:eastAsia="de-DE"/>
        </w:rPr>
        <w:pict>
          <v:shape id="_x0000_s1029" style="position:absolute;left:0;text-align:left;margin-left:72.1pt;margin-top:194.55pt;width:85pt;height:49.25pt;z-index:251682304" coordsize="2415,1399" path="m57,666c114,578,328,469,456,452,584,435,724,566,827,566v103,,166,-71,249,-114c1159,409,1276,378,1326,309v50,-69,-8,-231,50,-270c1434,,1587,20,1675,74v88,54,128,254,228,292c2003,404,2193,225,2274,302v81,77,141,355,114,528c2361,1003,2235,1287,2110,1343v-125,56,-334,-118,-471,-178c1502,1105,1450,1008,1290,980,1130,952,873,994,677,994v-196,,-459,40,-563,-14c10,926,,754,57,666xe" filled="f" strokecolor="#0070c0" strokeweight="2pt">
            <v:path arrowok="t"/>
          </v:shape>
        </w:pict>
      </w:r>
      <w:r w:rsidR="007465FE">
        <w:rPr>
          <w:noProof/>
          <w:lang w:val="en-US"/>
        </w:rPr>
        <w:drawing>
          <wp:inline distT="0" distB="0" distL="0" distR="0">
            <wp:extent cx="5278755" cy="6284584"/>
            <wp:effectExtent l="19050" t="0" r="0" b="0"/>
            <wp:docPr id="1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4F26B8" w:rsidRDefault="004F26B8" w:rsidP="004F26B8">
      <w:pPr>
        <w:pStyle w:val="Heading3"/>
      </w:pPr>
      <w:r w:rsidRPr="00300512">
        <w:lastRenderedPageBreak/>
        <w:t>Sustainable growth</w:t>
      </w:r>
      <w:r w:rsidRPr="00337872">
        <w:t xml:space="preserve"> </w:t>
      </w:r>
    </w:p>
    <w:p w:rsidR="004F26B8" w:rsidRDefault="004F26B8" w:rsidP="00C00C96">
      <w:r>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86079D">
        <w:t>In the framework of the Europe</w:t>
      </w:r>
      <w:r w:rsidR="00276DA6">
        <w:t xml:space="preserve"> 2020 Strategy it means </w:t>
      </w:r>
      <w:r w:rsidR="006D6890">
        <w:t>focus on competitiveness, resource efficiency, climate change and biodiversity</w:t>
      </w:r>
      <w:r w:rsidR="00276DA6">
        <w:t>.</w:t>
      </w:r>
    </w:p>
    <w:p w:rsidR="00440716" w:rsidRPr="001353FE" w:rsidRDefault="007C1610" w:rsidP="007C1610">
      <w:pPr>
        <w:rPr>
          <w:lang w:val="en-US"/>
        </w:rPr>
      </w:pPr>
      <w:r>
        <w:rPr>
          <w:noProof/>
          <w:lang w:val="en-US"/>
        </w:rPr>
        <w:drawing>
          <wp:anchor distT="0" distB="0" distL="114300" distR="114300" simplePos="0" relativeHeight="251691520" behindDoc="1" locked="0" layoutInCell="1" allowOverlap="1">
            <wp:simplePos x="0" y="0"/>
            <wp:positionH relativeFrom="column">
              <wp:posOffset>17145</wp:posOffset>
            </wp:positionH>
            <wp:positionV relativeFrom="paragraph">
              <wp:posOffset>41910</wp:posOffset>
            </wp:positionV>
            <wp:extent cx="5273675" cy="2423795"/>
            <wp:effectExtent l="19050" t="0" r="3175" b="0"/>
            <wp:wrapTight wrapText="bothSides">
              <wp:wrapPolygon edited="0">
                <wp:start x="-78" y="0"/>
                <wp:lineTo x="-78" y="20542"/>
                <wp:lineTo x="21613" y="20542"/>
                <wp:lineTo x="21613" y="0"/>
                <wp:lineTo x="-78" y="0"/>
              </wp:wrapPolygon>
            </wp:wrapTight>
            <wp:docPr id="9" name="Bild 2" descr="C:\Dokumente und Einstellungen\pucher\Desktop\TL_CBC1\CBC_TL_Two_Seas_BE&amp;NL&amp;FR&amp;UK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pucher\Desktop\TL_CBC1\CBC_TL_Two_Seas_BE&amp;NL&amp;FR&amp;UK1b.png"/>
                    <pic:cNvPicPr>
                      <a:picLocks noChangeAspect="1" noChangeArrowheads="1"/>
                    </pic:cNvPicPr>
                  </pic:nvPicPr>
                  <pic:blipFill>
                    <a:blip r:embed="rId18" cstate="print"/>
                    <a:srcRect/>
                    <a:stretch>
                      <a:fillRect/>
                    </a:stretch>
                  </pic:blipFill>
                  <pic:spPr bwMode="auto">
                    <a:xfrm>
                      <a:off x="0" y="0"/>
                      <a:ext cx="5273675" cy="2423795"/>
                    </a:xfrm>
                    <a:prstGeom prst="rect">
                      <a:avLst/>
                    </a:prstGeom>
                    <a:noFill/>
                    <a:ln w="9525">
                      <a:noFill/>
                      <a:miter lim="800000"/>
                      <a:headEnd/>
                      <a:tailEnd/>
                    </a:ln>
                  </pic:spPr>
                </pic:pic>
              </a:graphicData>
            </a:graphic>
          </wp:anchor>
        </w:drawing>
      </w:r>
      <w:r w:rsidR="001353FE">
        <w:t xml:space="preserve">The </w:t>
      </w:r>
      <w:r w:rsidR="004F1BB1">
        <w:t xml:space="preserve">Two Seas </w:t>
      </w:r>
      <w:r w:rsidR="001353FE">
        <w:t>CBC area has better values of wind energy potential than Belgium or the Netherlands</w:t>
      </w:r>
      <w:r w:rsidR="00B22C91">
        <w:t xml:space="preserve"> at their national levels. Its wind energy potential is comparable to</w:t>
      </w:r>
      <w:r w:rsidR="001353FE">
        <w:t xml:space="preserve"> the EU27+4 and the CBC areas in general, but lower than </w:t>
      </w:r>
      <w:r w:rsidR="00B22C91">
        <w:t xml:space="preserve">in </w:t>
      </w:r>
      <w:r w:rsidR="001353FE">
        <w:t>France or the UK.</w:t>
      </w:r>
      <w:r w:rsidR="00F46D18">
        <w:t xml:space="preserve"> </w:t>
      </w:r>
      <w:r w:rsidR="001353FE">
        <w:t xml:space="preserve">In terms of ozone concentration, the values of the CBC area are comparable to the CBC areas, the national levels of France, the Netherlands and the UK, </w:t>
      </w:r>
      <w:r w:rsidR="00114DAF">
        <w:t>and</w:t>
      </w:r>
      <w:r w:rsidR="001353FE">
        <w:t xml:space="preserve"> better than for the EU27+4 and Belgium.</w:t>
      </w:r>
      <w:r w:rsidR="00F46D18">
        <w:t xml:space="preserve"> </w:t>
      </w:r>
      <w:r w:rsidR="00114DAF">
        <w:rPr>
          <w:lang w:val="en-US"/>
        </w:rPr>
        <w:t>T</w:t>
      </w:r>
      <w:r w:rsidR="00F46D18">
        <w:rPr>
          <w:lang w:val="en-US"/>
        </w:rPr>
        <w:t xml:space="preserve">he </w:t>
      </w:r>
      <w:r w:rsidR="004F1BB1">
        <w:rPr>
          <w:lang w:val="en-US"/>
        </w:rPr>
        <w:t xml:space="preserve">Two Seas </w:t>
      </w:r>
      <w:r w:rsidR="00F46D18">
        <w:rPr>
          <w:lang w:val="en-US"/>
        </w:rPr>
        <w:t xml:space="preserve">area </w:t>
      </w:r>
      <w:r w:rsidR="00114DAF">
        <w:rPr>
          <w:lang w:val="en-US"/>
        </w:rPr>
        <w:t>is more vulnerable to climate change than all the areas compared, i.e. t</w:t>
      </w:r>
      <w:r w:rsidR="00F46D18">
        <w:rPr>
          <w:lang w:val="en-US"/>
        </w:rPr>
        <w:t>he EU27+4, the CBC areas in total</w:t>
      </w:r>
      <w:r w:rsidR="00114DAF">
        <w:rPr>
          <w:lang w:val="en-US"/>
        </w:rPr>
        <w:t xml:space="preserve"> as well as</w:t>
      </w:r>
      <w:r w:rsidR="00F46D18">
        <w:rPr>
          <w:lang w:val="en-US"/>
        </w:rPr>
        <w:t xml:space="preserve"> the Belgian, the French and the UK national levels. It</w:t>
      </w:r>
      <w:r w:rsidR="00114DAF">
        <w:rPr>
          <w:lang w:val="en-US"/>
        </w:rPr>
        <w:t>s potential vulnerability to climate change</w:t>
      </w:r>
      <w:r w:rsidR="00F46D18">
        <w:rPr>
          <w:lang w:val="en-US"/>
        </w:rPr>
        <w:t xml:space="preserve"> is only comparable to </w:t>
      </w:r>
      <w:r w:rsidR="00114DAF">
        <w:rPr>
          <w:lang w:val="en-US"/>
        </w:rPr>
        <w:t>the Netherlands</w:t>
      </w:r>
      <w:r w:rsidR="00F46D18">
        <w:rPr>
          <w:lang w:val="en-US"/>
        </w:rPr>
        <w:t>.</w:t>
      </w:r>
    </w:p>
    <w:p w:rsidR="00440716" w:rsidRPr="001353FE" w:rsidRDefault="008C1A06" w:rsidP="00112060">
      <w:pPr>
        <w:spacing w:before="240"/>
        <w:rPr>
          <w:lang w:val="en-US"/>
        </w:rPr>
      </w:pPr>
      <w:r>
        <w:t xml:space="preserve">Directive11 on fossil fuel consumption seems to have a minor territorial impact on the </w:t>
      </w:r>
      <w:r w:rsidR="001F4647">
        <w:t xml:space="preserve">continental side of the </w:t>
      </w:r>
      <w:r w:rsidR="00FD1115">
        <w:t xml:space="preserve">Two Seas </w:t>
      </w:r>
      <w:r>
        <w:t xml:space="preserve">CBC area (Map 2), </w:t>
      </w:r>
      <w:r w:rsidR="001F4647">
        <w:t xml:space="preserve">while in the UK the picture varies between “not affected by the Directive” and having “minor impacts”. </w:t>
      </w:r>
    </w:p>
    <w:p w:rsidR="00440716" w:rsidRPr="001353FE" w:rsidRDefault="006F4D61" w:rsidP="00112060">
      <w:pPr>
        <w:spacing w:before="240"/>
        <w:rPr>
          <w:lang w:val="en-US"/>
        </w:rPr>
      </w:pPr>
      <w:r>
        <w:rPr>
          <w:lang w:val="en-US"/>
        </w:rPr>
        <w:t>Box Plot 1 shows substantial differences between the NUTS 3 regions of the CBC area with regards to their capacity to adapt to climate change. West-Noord-Brabant is leading in this respect</w:t>
      </w:r>
      <w:r w:rsidR="00C47FB2">
        <w:rPr>
          <w:lang w:val="en-US"/>
        </w:rPr>
        <w:t xml:space="preserve"> with high-above average rates</w:t>
      </w:r>
      <w:r>
        <w:rPr>
          <w:lang w:val="en-US"/>
        </w:rPr>
        <w:t>, in contrast to Pas-de-Cala</w:t>
      </w:r>
      <w:r w:rsidR="00C47FB2">
        <w:rPr>
          <w:lang w:val="en-US"/>
        </w:rPr>
        <w:t>is, which has the lowest values and is way below the averages of the EU27, the CBC areas and the national levels of the countries involved.</w:t>
      </w:r>
    </w:p>
    <w:p w:rsidR="00041A22" w:rsidRPr="001353FE" w:rsidRDefault="00041A22">
      <w:pPr>
        <w:spacing w:after="0" w:line="240" w:lineRule="auto"/>
        <w:jc w:val="left"/>
        <w:rPr>
          <w:lang w:val="en-US"/>
        </w:rPr>
      </w:pPr>
      <w:r w:rsidRPr="001353FE">
        <w:rPr>
          <w:lang w:val="en-US"/>
        </w:rPr>
        <w:br w:type="page"/>
      </w:r>
    </w:p>
    <w:p w:rsidR="00337872" w:rsidRPr="00C33A99" w:rsidRDefault="009F77A8" w:rsidP="00C33A99">
      <w:pPr>
        <w:rPr>
          <w:b/>
        </w:rPr>
      </w:pPr>
      <w:r w:rsidRPr="00C33A99">
        <w:rPr>
          <w:b/>
        </w:rPr>
        <w:lastRenderedPageBreak/>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482D79">
        <w:rPr>
          <w:b/>
        </w:rPr>
        <w:t>Two Seas</w:t>
      </w:r>
    </w:p>
    <w:p w:rsidR="00D26713" w:rsidRDefault="00D26713" w:rsidP="00D26713">
      <w:pPr>
        <w:spacing w:after="0" w:line="240" w:lineRule="auto"/>
        <w:rPr>
          <w:noProof/>
          <w:lang w:eastAsia="en-GB"/>
        </w:rPr>
      </w:pPr>
    </w:p>
    <w:p w:rsidR="00D26713" w:rsidRDefault="005032A3" w:rsidP="00D26713">
      <w:pPr>
        <w:spacing w:after="0" w:line="240" w:lineRule="auto"/>
        <w:rPr>
          <w:noProof/>
          <w:lang w:eastAsia="en-GB"/>
        </w:rPr>
      </w:pPr>
      <w:r w:rsidRPr="005032A3">
        <w:rPr>
          <w:noProof/>
          <w:lang w:val="de-DE" w:eastAsia="de-DE"/>
        </w:rPr>
        <w:pict>
          <v:shape id="_x0000_s1030" style="position:absolute;left:0;text-align:left;margin-left:104.7pt;margin-top:166.25pt;width:85pt;height:49.25pt;z-index:251683328" coordsize="2415,1399" path="m57,666c114,578,328,469,456,452,584,435,724,566,827,566v103,,166,-71,249,-114c1159,409,1276,378,1326,309v50,-69,-8,-231,50,-270c1434,,1587,20,1675,74v88,54,128,254,228,292c2003,404,2193,225,2274,302v81,77,141,355,114,528c2361,1003,2235,1287,2110,1343v-125,56,-334,-118,-471,-178c1502,1105,1450,1008,1290,980,1130,952,873,994,677,994v-196,,-459,40,-563,-14c10,926,,754,57,666xe" filled="f" strokecolor="#0070c0" strokeweight="2pt">
            <v:path arrowok="t"/>
          </v:shape>
        </w:pict>
      </w:r>
      <w:r w:rsidR="007465FE">
        <w:rPr>
          <w:noProof/>
          <w:lang w:val="en-US"/>
        </w:rPr>
        <w:drawing>
          <wp:inline distT="0" distB="0" distL="0" distR="0">
            <wp:extent cx="5278755" cy="5815626"/>
            <wp:effectExtent l="19050" t="0" r="0" b="0"/>
            <wp:docPr id="1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337872" w:rsidRDefault="006E618B" w:rsidP="00016B50">
      <w:pPr>
        <w:jc w:val="left"/>
        <w:rPr>
          <w:b/>
        </w:rPr>
      </w:pPr>
      <w:r w:rsidRPr="00C33A99">
        <w:rPr>
          <w:b/>
        </w:rPr>
        <w:lastRenderedPageBreak/>
        <w:t>BOX</w:t>
      </w:r>
      <w:r w:rsidR="0054220D">
        <w:rPr>
          <w:b/>
        </w:rPr>
        <w:t>-</w:t>
      </w:r>
      <w:r w:rsidRPr="00C33A99">
        <w:rPr>
          <w:b/>
        </w:rPr>
        <w:t>PLOT</w:t>
      </w:r>
      <w:r w:rsidR="00016B50">
        <w:rPr>
          <w:b/>
        </w:rPr>
        <w:t xml:space="preserve"> 1 – </w:t>
      </w:r>
      <w:r w:rsidRPr="00C33A99">
        <w:rPr>
          <w:b/>
        </w:rPr>
        <w:t>Combined adaptive capacity to climate change (ESPON CLIMATE project)</w:t>
      </w:r>
      <w:r w:rsidR="002371D8">
        <w:rPr>
          <w:b/>
        </w:rPr>
        <w:t xml:space="preserve"> for the CBC </w:t>
      </w:r>
      <w:r w:rsidR="00482D79">
        <w:rPr>
          <w:b/>
        </w:rPr>
        <w:t>Two Seas</w:t>
      </w:r>
    </w:p>
    <w:p w:rsidR="009E27FF" w:rsidRPr="00021CAB" w:rsidRDefault="009E27FF" w:rsidP="009E27FF">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337872" w:rsidRDefault="004D5C51" w:rsidP="006E618B">
      <w:pPr>
        <w:spacing w:after="0" w:line="240" w:lineRule="auto"/>
        <w:rPr>
          <w:noProof/>
          <w:lang w:eastAsia="en-GB"/>
        </w:rPr>
      </w:pPr>
      <w:r>
        <w:rPr>
          <w:noProof/>
          <w:lang w:val="en-US"/>
        </w:rPr>
        <w:drawing>
          <wp:inline distT="0" distB="0" distL="0" distR="0">
            <wp:extent cx="5278755" cy="4225542"/>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278755" cy="4225542"/>
                    </a:xfrm>
                    <a:prstGeom prst="rect">
                      <a:avLst/>
                    </a:prstGeom>
                    <a:noFill/>
                    <a:ln w="9525">
                      <a:noFill/>
                      <a:miter lim="800000"/>
                      <a:headEnd/>
                      <a:tailEnd/>
                    </a:ln>
                  </pic:spPr>
                </pic:pic>
              </a:graphicData>
            </a:graphic>
          </wp:inline>
        </w:drawing>
      </w:r>
    </w:p>
    <w:p w:rsidR="00AD6766" w:rsidRPr="006F0BC4" w:rsidRDefault="00AD6766" w:rsidP="00AD6766">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2371D8" w:rsidRDefault="002371D8" w:rsidP="006E618B">
      <w:pPr>
        <w:spacing w:after="0" w:line="240" w:lineRule="auto"/>
        <w:rPr>
          <w:noProof/>
          <w:lang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rsidRPr="00300512">
        <w:lastRenderedPageBreak/>
        <w:t>Inclusive growth</w:t>
      </w:r>
      <w:r>
        <w:t xml:space="preserve"> </w:t>
      </w:r>
    </w:p>
    <w:p w:rsidR="00151954" w:rsidRDefault="007C1610" w:rsidP="00B135A2">
      <w:r>
        <w:rPr>
          <w:noProof/>
          <w:lang w:val="en-US"/>
        </w:rPr>
        <w:drawing>
          <wp:anchor distT="0" distB="0" distL="114300" distR="114300" simplePos="0" relativeHeight="251692544" behindDoc="1" locked="0" layoutInCell="1" allowOverlap="1">
            <wp:simplePos x="0" y="0"/>
            <wp:positionH relativeFrom="column">
              <wp:posOffset>-1905</wp:posOffset>
            </wp:positionH>
            <wp:positionV relativeFrom="paragraph">
              <wp:posOffset>1146175</wp:posOffset>
            </wp:positionV>
            <wp:extent cx="5273675" cy="2190115"/>
            <wp:effectExtent l="19050" t="0" r="3175" b="0"/>
            <wp:wrapTight wrapText="bothSides">
              <wp:wrapPolygon edited="0">
                <wp:start x="-78" y="0"/>
                <wp:lineTo x="-78" y="20667"/>
                <wp:lineTo x="21613" y="20667"/>
                <wp:lineTo x="21613" y="0"/>
                <wp:lineTo x="-78" y="0"/>
              </wp:wrapPolygon>
            </wp:wrapTight>
            <wp:docPr id="10" name="Bild 3" descr="C:\Dokumente und Einstellungen\pucher\Desktop\TL_CBC1\CBC_TL_Two_Seas_BE&amp;NL&amp;FR&amp;UK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pucher\Desktop\TL_CBC1\CBC_TL_Two_Seas_BE&amp;NL&amp;FR&amp;UK1c.png"/>
                    <pic:cNvPicPr>
                      <a:picLocks noChangeAspect="1" noChangeArrowheads="1"/>
                    </pic:cNvPicPr>
                  </pic:nvPicPr>
                  <pic:blipFill>
                    <a:blip r:embed="rId21" cstate="print"/>
                    <a:srcRect/>
                    <a:stretch>
                      <a:fillRect/>
                    </a:stretch>
                  </pic:blipFill>
                  <pic:spPr bwMode="auto">
                    <a:xfrm>
                      <a:off x="0" y="0"/>
                      <a:ext cx="5273675" cy="2190115"/>
                    </a:xfrm>
                    <a:prstGeom prst="rect">
                      <a:avLst/>
                    </a:prstGeom>
                    <a:noFill/>
                    <a:ln w="9525">
                      <a:noFill/>
                      <a:miter lim="800000"/>
                      <a:headEnd/>
                      <a:tailEnd/>
                    </a:ln>
                  </pic:spPr>
                </pic:pic>
              </a:graphicData>
            </a:graphic>
          </wp:anchor>
        </w:drawing>
      </w:r>
      <w:r w:rsidR="00B135A2">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DC609C" w:rsidRDefault="00DC609C" w:rsidP="00102FFA">
      <w:pPr>
        <w:spacing w:before="120" w:after="0" w:line="240" w:lineRule="auto"/>
        <w:ind w:left="-567"/>
        <w:rPr>
          <w:noProof/>
          <w:lang w:eastAsia="en-GB"/>
        </w:rPr>
      </w:pPr>
    </w:p>
    <w:p w:rsidR="00D510DD" w:rsidRPr="001353FE" w:rsidRDefault="00BC75EE" w:rsidP="00D510DD">
      <w:pPr>
        <w:spacing w:after="0" w:line="240" w:lineRule="auto"/>
        <w:jc w:val="left"/>
        <w:rPr>
          <w:noProof/>
          <w:lang w:val="en-US" w:eastAsia="en-GB"/>
        </w:rPr>
      </w:pPr>
      <w:r w:rsidRPr="00BC75EE">
        <w:t xml:space="preserve">The </w:t>
      </w:r>
      <w:r w:rsidR="00FD1115">
        <w:t xml:space="preserve">Two Seas </w:t>
      </w:r>
      <w:r w:rsidRPr="00BC75EE">
        <w:t xml:space="preserve">CBC area </w:t>
      </w:r>
      <w:r>
        <w:t xml:space="preserve">has a lower rate of long-term unemployment than the EU27+4, the CBC areas in general and the national levels of Belgium, France and the UK. Solely the Netherlands have better values in this respect. </w:t>
      </w:r>
      <w:r w:rsidR="00D510DD">
        <w:t>It sho</w:t>
      </w:r>
      <w:r w:rsidR="00A034CC">
        <w:t>u</w:t>
      </w:r>
      <w:r w:rsidR="00D510DD">
        <w:t xml:space="preserve">ld be added the disparities within the Two Seas area are high. This can also be seen in Box plot 2. The </w:t>
      </w:r>
      <w:r w:rsidR="00D510DD">
        <w:rPr>
          <w:noProof/>
          <w:lang w:eastAsia="en-GB"/>
        </w:rPr>
        <w:t>Box plot in fact shows that the employment rate varies significantly across the CBC area’s NUTS 3 regions. The region of Overig Zeeland in the Netherlands has a far-above-averge employment rate while Nord in France is below average with a rate that is about 10 percentage points lower than  Overig Zeeland.</w:t>
      </w:r>
    </w:p>
    <w:p w:rsidR="00482D79" w:rsidRPr="00D510DD" w:rsidRDefault="00482D79">
      <w:pPr>
        <w:spacing w:after="0" w:line="240" w:lineRule="auto"/>
        <w:jc w:val="left"/>
        <w:rPr>
          <w:lang w:val="en-US"/>
        </w:rPr>
      </w:pPr>
    </w:p>
    <w:p w:rsidR="00BC75EE" w:rsidRDefault="00675750">
      <w:pPr>
        <w:spacing w:after="0" w:line="240" w:lineRule="auto"/>
        <w:jc w:val="left"/>
      </w:pPr>
      <w:r>
        <w:t xml:space="preserve">Looking at the traffic </w:t>
      </w:r>
      <w:r w:rsidR="009739D5">
        <w:t xml:space="preserve">lights, </w:t>
      </w:r>
      <w:r w:rsidR="00BC75EE">
        <w:t xml:space="preserve">the at-risk-of-poverty rate is higher </w:t>
      </w:r>
      <w:r w:rsidR="00D510DD">
        <w:t>in</w:t>
      </w:r>
      <w:r w:rsidR="00BC75EE">
        <w:t xml:space="preserve"> the </w:t>
      </w:r>
      <w:r w:rsidR="00D510DD">
        <w:t xml:space="preserve">Two Seas </w:t>
      </w:r>
      <w:r w:rsidR="00BC75EE">
        <w:t xml:space="preserve">CBC area than </w:t>
      </w:r>
      <w:r w:rsidR="00D510DD">
        <w:t>in</w:t>
      </w:r>
      <w:r w:rsidR="00BC75EE">
        <w:t xml:space="preserve"> the areas compared</w:t>
      </w:r>
      <w:r w:rsidR="00A034CC">
        <w:t xml:space="preserve"> (and slightly below</w:t>
      </w:r>
      <w:r w:rsidR="009739D5">
        <w:t xml:space="preserve"> the Belgian one)</w:t>
      </w:r>
      <w:r w:rsidR="00BC75EE">
        <w:t>. Only the UK has a higher at-risk-of-poverty rate than the CBC area.</w:t>
      </w:r>
    </w:p>
    <w:p w:rsidR="003C5ED7" w:rsidRPr="001353FE" w:rsidRDefault="00BC75EE">
      <w:pPr>
        <w:spacing w:after="0" w:line="240" w:lineRule="auto"/>
        <w:jc w:val="left"/>
        <w:rPr>
          <w:noProof/>
          <w:lang w:val="en-US" w:eastAsia="en-GB"/>
        </w:rPr>
      </w:pPr>
      <w:r>
        <w:rPr>
          <w:noProof/>
          <w:lang w:eastAsia="en-GB"/>
        </w:rPr>
        <w:t>The level of secondary or tertiary education attainment of perso</w:t>
      </w:r>
      <w:r w:rsidR="00FD1115">
        <w:rPr>
          <w:noProof/>
          <w:lang w:eastAsia="en-GB"/>
        </w:rPr>
        <w:t>ns aged 25-64 and 20-24 in the the Two Seas</w:t>
      </w:r>
      <w:r>
        <w:rPr>
          <w:noProof/>
          <w:lang w:eastAsia="en-GB"/>
        </w:rPr>
        <w:t xml:space="preserve"> area </w:t>
      </w:r>
      <w:r w:rsidR="00D510DD">
        <w:rPr>
          <w:noProof/>
          <w:lang w:eastAsia="en-GB"/>
        </w:rPr>
        <w:t>i</w:t>
      </w:r>
      <w:r>
        <w:rPr>
          <w:noProof/>
          <w:lang w:eastAsia="en-GB"/>
        </w:rPr>
        <w:t xml:space="preserve">s similar to the EU27+4 but </w:t>
      </w:r>
      <w:r w:rsidR="00D510DD">
        <w:rPr>
          <w:noProof/>
          <w:lang w:eastAsia="en-GB"/>
        </w:rPr>
        <w:t>lower</w:t>
      </w:r>
      <w:r>
        <w:rPr>
          <w:noProof/>
          <w:lang w:eastAsia="en-GB"/>
        </w:rPr>
        <w:t xml:space="preserve"> than</w:t>
      </w:r>
      <w:r w:rsidR="00D510DD">
        <w:rPr>
          <w:noProof/>
          <w:lang w:eastAsia="en-GB"/>
        </w:rPr>
        <w:t xml:space="preserve"> in</w:t>
      </w:r>
      <w:r>
        <w:rPr>
          <w:noProof/>
          <w:lang w:eastAsia="en-GB"/>
        </w:rPr>
        <w:t xml:space="preserve"> the other CBC areas. The </w:t>
      </w:r>
      <w:r w:rsidR="00D510DD">
        <w:rPr>
          <w:noProof/>
          <w:lang w:eastAsia="en-GB"/>
        </w:rPr>
        <w:t xml:space="preserve">Two Seas </w:t>
      </w:r>
      <w:r>
        <w:rPr>
          <w:noProof/>
          <w:lang w:eastAsia="en-GB"/>
        </w:rPr>
        <w:t xml:space="preserve">CBC area however </w:t>
      </w:r>
      <w:r w:rsidR="00D510DD">
        <w:rPr>
          <w:noProof/>
          <w:lang w:eastAsia="en-GB"/>
        </w:rPr>
        <w:t>has a higher rate of persons with an upper second or tertiatry education attainment than</w:t>
      </w:r>
      <w:r>
        <w:rPr>
          <w:noProof/>
          <w:lang w:eastAsia="en-GB"/>
        </w:rPr>
        <w:t xml:space="preserve"> Belgium, France and the Netherlands. </w:t>
      </w:r>
    </w:p>
    <w:p w:rsidR="003C5ED7" w:rsidRPr="001353FE" w:rsidRDefault="003C5ED7">
      <w:pPr>
        <w:spacing w:after="0" w:line="240" w:lineRule="auto"/>
        <w:jc w:val="left"/>
        <w:rPr>
          <w:noProof/>
          <w:lang w:val="en-US" w:eastAsia="en-GB"/>
        </w:rPr>
      </w:pPr>
    </w:p>
    <w:p w:rsidR="003C5ED7" w:rsidRDefault="00BC75EE">
      <w:pPr>
        <w:spacing w:after="0" w:line="240" w:lineRule="auto"/>
        <w:jc w:val="left"/>
        <w:rPr>
          <w:noProof/>
          <w:lang w:eastAsia="en-GB"/>
        </w:rPr>
      </w:pPr>
      <w:r>
        <w:rPr>
          <w:noProof/>
          <w:lang w:eastAsia="en-GB"/>
        </w:rPr>
        <w:t>F</w:t>
      </w:r>
      <w:r w:rsidR="00F625D8">
        <w:rPr>
          <w:noProof/>
          <w:lang w:eastAsia="en-GB"/>
        </w:rPr>
        <w:t xml:space="preserve">or all the possible change in labour force scenarios </w:t>
      </w:r>
      <w:r>
        <w:rPr>
          <w:noProof/>
          <w:lang w:eastAsia="en-GB"/>
        </w:rPr>
        <w:t xml:space="preserve">until 2050 drawn in the ESPON DEMIFER project (Map 3), the </w:t>
      </w:r>
      <w:r w:rsidR="00D510DD">
        <w:rPr>
          <w:noProof/>
          <w:lang w:eastAsia="en-GB"/>
        </w:rPr>
        <w:t>change in labour force until 2050</w:t>
      </w:r>
      <w:r w:rsidR="00467309">
        <w:rPr>
          <w:noProof/>
          <w:lang w:eastAsia="en-GB"/>
        </w:rPr>
        <w:t xml:space="preserve"> seems to take a </w:t>
      </w:r>
      <w:r w:rsidR="00D510DD">
        <w:rPr>
          <w:noProof/>
          <w:lang w:eastAsia="en-GB"/>
        </w:rPr>
        <w:t>more positive</w:t>
      </w:r>
      <w:r w:rsidR="00467309">
        <w:rPr>
          <w:noProof/>
          <w:lang w:eastAsia="en-GB"/>
        </w:rPr>
        <w:t xml:space="preserve"> turn for the UK than for the continental regions</w:t>
      </w:r>
      <w:r w:rsidR="00D510DD">
        <w:rPr>
          <w:noProof/>
          <w:lang w:eastAsia="en-GB"/>
        </w:rPr>
        <w:t xml:space="preserve"> of the CBC area</w:t>
      </w:r>
      <w:r w:rsidR="00467309">
        <w:rPr>
          <w:noProof/>
          <w:lang w:eastAsia="en-GB"/>
        </w:rPr>
        <w:t>. Only in the scenario “Growing social Europe” (followed by “Expanding market Europe</w:t>
      </w:r>
      <w:r w:rsidR="00D510DD">
        <w:rPr>
          <w:noProof/>
          <w:lang w:eastAsia="en-GB"/>
        </w:rPr>
        <w:t>”</w:t>
      </w:r>
      <w:r w:rsidR="00467309">
        <w:rPr>
          <w:noProof/>
          <w:lang w:eastAsia="en-GB"/>
        </w:rPr>
        <w:t xml:space="preserve">) the values are positive for almost the entire </w:t>
      </w:r>
      <w:r w:rsidR="00FD1115">
        <w:rPr>
          <w:noProof/>
          <w:lang w:eastAsia="en-GB"/>
        </w:rPr>
        <w:t xml:space="preserve">Two Seas </w:t>
      </w:r>
      <w:r w:rsidR="00467309">
        <w:rPr>
          <w:noProof/>
          <w:lang w:eastAsia="en-GB"/>
        </w:rPr>
        <w:t>CBC area.</w:t>
      </w:r>
    </w:p>
    <w:p w:rsidR="0023321A" w:rsidRDefault="0023321A">
      <w:pPr>
        <w:spacing w:after="0" w:line="240" w:lineRule="auto"/>
        <w:jc w:val="left"/>
        <w:rPr>
          <w:noProof/>
          <w:lang w:eastAsia="en-GB"/>
        </w:rPr>
      </w:pPr>
    </w:p>
    <w:p w:rsidR="00482D79" w:rsidRPr="001353FE" w:rsidRDefault="00482D79">
      <w:pPr>
        <w:spacing w:after="0" w:line="240" w:lineRule="auto"/>
        <w:jc w:val="left"/>
        <w:rPr>
          <w:noProof/>
          <w:lang w:val="en-US" w:eastAsia="en-GB"/>
        </w:rPr>
      </w:pPr>
      <w:r w:rsidRPr="001353FE">
        <w:rPr>
          <w:noProof/>
          <w:lang w:val="en-US" w:eastAsia="en-GB"/>
        </w:rPr>
        <w:br w:type="page"/>
      </w:r>
    </w:p>
    <w:p w:rsidR="00104631" w:rsidRPr="001353FE" w:rsidRDefault="00104631">
      <w:pPr>
        <w:spacing w:after="0" w:line="240" w:lineRule="auto"/>
        <w:jc w:val="left"/>
        <w:rPr>
          <w:noProof/>
          <w:lang w:val="en-US" w:eastAsia="en-GB"/>
        </w:rPr>
      </w:pPr>
    </w:p>
    <w:p w:rsidR="00B135A2" w:rsidRPr="00C33A99" w:rsidRDefault="00016B50" w:rsidP="00C33A99">
      <w:pPr>
        <w:rPr>
          <w:b/>
        </w:rPr>
      </w:pPr>
      <w:r>
        <w:rPr>
          <w:b/>
        </w:rPr>
        <w:t xml:space="preserve">MAP 3 – </w:t>
      </w:r>
      <w:r w:rsidR="00C04A1F" w:rsidRPr="00C33A99">
        <w:rPr>
          <w:b/>
        </w:rPr>
        <w:t>Change in Labour Force 2005-2050 (ESPON DEMIFER project)</w:t>
      </w:r>
      <w:r w:rsidR="002371D8">
        <w:rPr>
          <w:b/>
        </w:rPr>
        <w:t xml:space="preserve"> for the CBC </w:t>
      </w:r>
      <w:r w:rsidR="00482D79">
        <w:rPr>
          <w:b/>
        </w:rPr>
        <w:t>Two Seas</w:t>
      </w:r>
    </w:p>
    <w:p w:rsidR="0089569C" w:rsidRDefault="0089569C" w:rsidP="0089569C">
      <w:pPr>
        <w:spacing w:after="0" w:line="240" w:lineRule="auto"/>
        <w:rPr>
          <w:noProof/>
          <w:lang w:eastAsia="en-GB"/>
        </w:rPr>
      </w:pPr>
    </w:p>
    <w:p w:rsidR="0089569C" w:rsidRDefault="005032A3" w:rsidP="0089569C">
      <w:pPr>
        <w:spacing w:after="0" w:line="240" w:lineRule="auto"/>
        <w:rPr>
          <w:noProof/>
          <w:lang w:eastAsia="en-GB"/>
        </w:rPr>
      </w:pPr>
      <w:r w:rsidRPr="005032A3">
        <w:rPr>
          <w:noProof/>
          <w:lang w:val="de-DE" w:eastAsia="de-DE"/>
        </w:rPr>
        <w:pict>
          <v:shape id="_x0000_s1034" style="position:absolute;left:0;text-align:left;margin-left:244.2pt;margin-top:304.85pt;width:45.7pt;height:26.5pt;z-index:251687424" coordsize="2415,1399" path="m57,666c114,578,328,469,456,452,584,435,724,566,827,566v103,,166,-71,249,-114c1159,409,1276,378,1326,309v50,-69,-8,-231,50,-270c1434,,1587,20,1675,74v88,54,128,254,228,292c2003,404,2193,225,2274,302v81,77,141,355,114,528c2361,1003,2235,1287,2110,1343v-125,56,-334,-118,-471,-178c1502,1105,1450,1008,1290,980,1130,952,873,994,677,994v-196,,-459,40,-563,-14c10,926,,754,57,666xe" filled="f" strokecolor="#0070c0" strokeweight="2pt">
            <v:path arrowok="t"/>
          </v:shape>
        </w:pict>
      </w:r>
      <w:r w:rsidRPr="005032A3">
        <w:rPr>
          <w:noProof/>
          <w:lang w:val="de-DE" w:eastAsia="de-DE"/>
        </w:rPr>
        <w:pict>
          <v:shape id="_x0000_s1033" style="position:absolute;left:0;text-align:left;margin-left:45.5pt;margin-top:304.85pt;width:45.7pt;height:26.5pt;z-index:251686400" coordsize="2415,1399" path="m57,666c114,578,328,469,456,452,584,435,724,566,827,566v103,,166,-71,249,-114c1159,409,1276,378,1326,309v50,-69,-8,-231,50,-270c1434,,1587,20,1675,74v88,54,128,254,228,292c2003,404,2193,225,2274,302v81,77,141,355,114,528c2361,1003,2235,1287,2110,1343v-125,56,-334,-118,-471,-178c1502,1105,1450,1008,1290,980,1130,952,873,994,677,994v-196,,-459,40,-563,-14c10,926,,754,57,666xe" filled="f" strokecolor="#0070c0" strokeweight="2pt">
            <v:path arrowok="t"/>
          </v:shape>
        </w:pict>
      </w:r>
      <w:r w:rsidRPr="005032A3">
        <w:rPr>
          <w:noProof/>
          <w:lang w:val="de-DE" w:eastAsia="de-DE"/>
        </w:rPr>
        <w:pict>
          <v:shape id="_x0000_s1032" style="position:absolute;left:0;text-align:left;margin-left:244.2pt;margin-top:100.35pt;width:45.7pt;height:26.5pt;z-index:251685376" coordsize="2415,1399" path="m57,666c114,578,328,469,456,452,584,435,724,566,827,566v103,,166,-71,249,-114c1159,409,1276,378,1326,309v50,-69,-8,-231,50,-270c1434,,1587,20,1675,74v88,54,128,254,228,292c2003,404,2193,225,2274,302v81,77,141,355,114,528c2361,1003,2235,1287,2110,1343v-125,56,-334,-118,-471,-178c1502,1105,1450,1008,1290,980,1130,952,873,994,677,994v-196,,-459,40,-563,-14c10,926,,754,57,666xe" filled="f" strokecolor="#0070c0" strokeweight="2pt">
            <v:path arrowok="t"/>
          </v:shape>
        </w:pict>
      </w:r>
      <w:r w:rsidRPr="005032A3">
        <w:rPr>
          <w:noProof/>
          <w:lang w:val="de-DE" w:eastAsia="de-DE"/>
        </w:rPr>
        <w:pict>
          <v:shape id="_x0000_s1031" style="position:absolute;left:0;text-align:left;margin-left:44.65pt;margin-top:99.5pt;width:45.7pt;height:26.5pt;z-index:251684352" coordsize="2415,1399" path="m57,666c114,578,328,469,456,452,584,435,724,566,827,566v103,,166,-71,249,-114c1159,409,1276,378,1326,309v50,-69,-8,-231,50,-270c1434,,1587,20,1675,74v88,54,128,254,228,292c2003,404,2193,225,2274,302v81,77,141,355,114,528c2361,1003,2235,1287,2110,1343v-125,56,-334,-118,-471,-178c1502,1105,1450,1008,1290,980,1130,952,873,994,677,994v-196,,-459,40,-563,-14c10,926,,754,57,666xe" filled="f" strokecolor="#0070c0" strokeweight="2pt">
            <v:path arrowok="t"/>
          </v:shape>
        </w:pict>
      </w:r>
      <w:r w:rsidR="00B278BA">
        <w:rPr>
          <w:noProof/>
          <w:lang w:val="en-US"/>
        </w:rPr>
        <w:drawing>
          <wp:inline distT="0" distB="0" distL="0" distR="0">
            <wp:extent cx="5278755" cy="6911340"/>
            <wp:effectExtent l="19050" t="0" r="0" b="0"/>
            <wp:docPr id="17" name="Grafik 16"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2"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FD4E3A" w:rsidRPr="00C33A99" w:rsidRDefault="00FD4E3A" w:rsidP="00C33A99">
      <w:pPr>
        <w:rPr>
          <w:b/>
        </w:rPr>
      </w:pPr>
      <w:r w:rsidRPr="00C33A99">
        <w:rPr>
          <w:b/>
        </w:rPr>
        <w:lastRenderedPageBreak/>
        <w:t>BOX</w:t>
      </w:r>
      <w:r w:rsidR="0054220D">
        <w:rPr>
          <w:b/>
        </w:rPr>
        <w:t>-</w:t>
      </w:r>
      <w:r w:rsidRPr="00C33A99">
        <w:rPr>
          <w:b/>
        </w:rPr>
        <w:t>PLOT</w:t>
      </w:r>
      <w:r w:rsidR="00016B50">
        <w:rPr>
          <w:b/>
        </w:rPr>
        <w:t xml:space="preserve"> 2</w:t>
      </w:r>
      <w:r w:rsidRPr="00C33A99">
        <w:rPr>
          <w:b/>
        </w:rPr>
        <w:t xml:space="preserve"> – Employment rate 2010</w:t>
      </w:r>
      <w:r w:rsidR="002371D8">
        <w:rPr>
          <w:b/>
        </w:rPr>
        <w:t xml:space="preserve"> within the CBC </w:t>
      </w:r>
      <w:r w:rsidR="00482D79">
        <w:rPr>
          <w:b/>
        </w:rPr>
        <w:t>Two Seas</w:t>
      </w:r>
    </w:p>
    <w:p w:rsidR="00FD4E3A" w:rsidRDefault="004D5C51" w:rsidP="00FD4E3A">
      <w:pPr>
        <w:spacing w:after="0" w:line="240" w:lineRule="auto"/>
        <w:jc w:val="left"/>
        <w:rPr>
          <w:noProof/>
          <w:lang w:eastAsia="en-GB"/>
        </w:rPr>
      </w:pPr>
      <w:r>
        <w:rPr>
          <w:noProof/>
          <w:lang w:val="en-US"/>
        </w:rPr>
        <w:drawing>
          <wp:inline distT="0" distB="0" distL="0" distR="0">
            <wp:extent cx="5278755" cy="4225542"/>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278755" cy="4225542"/>
                    </a:xfrm>
                    <a:prstGeom prst="rect">
                      <a:avLst/>
                    </a:prstGeom>
                    <a:noFill/>
                    <a:ln w="9525">
                      <a:noFill/>
                      <a:miter lim="800000"/>
                      <a:headEnd/>
                      <a:tailEnd/>
                    </a:ln>
                  </pic:spPr>
                </pic:pic>
              </a:graphicData>
            </a:graphic>
          </wp:inline>
        </w:drawing>
      </w:r>
    </w:p>
    <w:p w:rsidR="00253237" w:rsidRDefault="00253237"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Pr="00383954" w:rsidRDefault="00383954" w:rsidP="00FD4E3A">
      <w:pPr>
        <w:spacing w:after="0" w:line="240" w:lineRule="auto"/>
        <w:jc w:val="left"/>
        <w:rPr>
          <w:i/>
          <w:noProof/>
          <w:lang w:eastAsia="en-GB"/>
        </w:rPr>
      </w:pPr>
      <w:r w:rsidRPr="00383954">
        <w:rPr>
          <w:i/>
          <w:noProof/>
          <w:lang w:eastAsia="en-GB"/>
        </w:rPr>
        <w:t xml:space="preserve">(see “How to read the </w:t>
      </w:r>
      <w:r w:rsidR="0086079D">
        <w:rPr>
          <w:i/>
          <w:noProof/>
          <w:lang w:eastAsia="en-GB"/>
        </w:rPr>
        <w:t>box-plots?” on page 8</w:t>
      </w:r>
      <w:r w:rsidRPr="00383954">
        <w:rPr>
          <w:i/>
          <w:noProof/>
          <w:lang w:eastAsia="en-GB"/>
        </w:rPr>
        <w:t>)</w:t>
      </w: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4D44B2" w:rsidRDefault="005761A6" w:rsidP="005761A6">
      <w:pPr>
        <w:pStyle w:val="Heading1"/>
      </w:pPr>
      <w:r w:rsidRPr="004D44B2">
        <w:lastRenderedPageBreak/>
        <w:t xml:space="preserve">Territorial factors of interest for the programme area </w:t>
      </w:r>
    </w:p>
    <w:p w:rsidR="004D44B2" w:rsidRDefault="004D44B2" w:rsidP="004D44B2">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4D44B2" w:rsidRDefault="004D44B2" w:rsidP="004D44B2">
      <w:r>
        <w:t xml:space="preserve">In a European perspective the programme area is mainly characterised by a large variety of different types of regions, ranging from urban via intermediate regions to rural regions. Most regions in the programme area are close to a city. However, in a European perspective the area comprises also remote areas. The main urban centres in the programme area are among others </w:t>
      </w:r>
      <w:r w:rsidRPr="00EB3D80">
        <w:rPr>
          <w:rFonts w:cs="Verdana"/>
          <w:color w:val="000000"/>
          <w:szCs w:val="20"/>
          <w:lang w:val="en-US" w:eastAsia="de-DE"/>
        </w:rPr>
        <w:t xml:space="preserve">Southampton, </w:t>
      </w:r>
      <w:r>
        <w:t xml:space="preserve">Lille, Le Havre, Antwerp, Gent and Bruges. </w:t>
      </w:r>
    </w:p>
    <w:p w:rsidR="004D44B2" w:rsidRDefault="004D44B2" w:rsidP="004D44B2">
      <w:r>
        <w:t>Furthermore, large parts of the programme area are in close proximity to London, Amsterdam or Brussels. These are important metropolitan areas and hubs in the European urban system. The close proximity can be a particular advantage for smaller cities in the programme area.</w:t>
      </w:r>
    </w:p>
    <w:p w:rsidR="004D44B2" w:rsidRDefault="004D44B2" w:rsidP="004D44B2">
      <w:r>
        <w:t xml:space="preserve">This concerns both the access to services and infrastructure. In a European perspective most parts of the programme area have above average international and multimodal accessibility, and some areas in close proximity to Amsterdam, London or Brussels have very good accessibility. There are also good opportunities for one-day business trips within the European urban network. </w:t>
      </w:r>
    </w:p>
    <w:p w:rsidR="004D44B2" w:rsidRDefault="004D44B2" w:rsidP="004D44B2">
      <w:r>
        <w:t xml:space="preserve">The mixed character of the programme area comes also with a number of challenges, not at least with regard to the environment. </w:t>
      </w:r>
    </w:p>
    <w:p w:rsidR="004D44B2" w:rsidRDefault="004D44B2" w:rsidP="004D44B2">
      <w:r>
        <w:t xml:space="preserve">Most parts of the programme area are characterised as </w:t>
      </w:r>
      <w:r w:rsidR="00FA6CFF">
        <w:t>coastal</w:t>
      </w:r>
      <w:r>
        <w:t xml:space="preserve"> regions in a European perspective. Also this comes with particular development challenges and opportunities. </w:t>
      </w:r>
      <w:r w:rsidRPr="0032010C">
        <w:t xml:space="preserve">ESPON GEOSPECS has developed a nexus model for </w:t>
      </w:r>
      <w:r>
        <w:t xml:space="preserve">coastal </w:t>
      </w:r>
      <w:r w:rsidRPr="0032010C">
        <w:t xml:space="preserve">regions linking defining features via intermediary process to development challenges and opportunities (see figure). This model can be of interest </w:t>
      </w:r>
      <w:r>
        <w:t xml:space="preserve">also </w:t>
      </w:r>
      <w:r w:rsidRPr="0032010C">
        <w:t xml:space="preserve">for further developing the discussion about the challenges and opportunities in the programme area. </w:t>
      </w:r>
    </w:p>
    <w:p w:rsidR="004D44B2" w:rsidRDefault="004D44B2" w:rsidP="004D44B2">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 xml:space="preserve"> FINAL REPORT, PAGE 103:</w:t>
      </w:r>
      <w:r>
        <w:rPr>
          <w:rFonts w:cs="Calibri"/>
          <w:sz w:val="18"/>
          <w:szCs w:val="20"/>
          <w:lang w:eastAsia="fr-FR"/>
        </w:rPr>
        <w:br/>
        <w:t>Nexus model for coastal areas</w:t>
      </w:r>
    </w:p>
    <w:p w:rsidR="004D44B2" w:rsidRPr="005E57B9" w:rsidRDefault="004D44B2" w:rsidP="004D44B2">
      <w:pPr>
        <w:shd w:val="clear" w:color="auto" w:fill="F2F2F2" w:themeFill="background1" w:themeFillShade="F2"/>
        <w:spacing w:after="0" w:line="240" w:lineRule="auto"/>
        <w:jc w:val="center"/>
        <w:rPr>
          <w:rFonts w:cs="Calibri"/>
          <w:sz w:val="18"/>
          <w:szCs w:val="20"/>
          <w:lang w:eastAsia="fr-FR"/>
        </w:rPr>
      </w:pPr>
      <w:r>
        <w:rPr>
          <w:noProof/>
          <w:lang w:val="en-US"/>
        </w:rPr>
        <w:drawing>
          <wp:inline distT="0" distB="0" distL="0" distR="0">
            <wp:extent cx="5278755" cy="3053055"/>
            <wp:effectExtent l="25400" t="0" r="4445" b="0"/>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srcRect/>
                    <a:stretch>
                      <a:fillRect/>
                    </a:stretch>
                  </pic:blipFill>
                  <pic:spPr bwMode="auto">
                    <a:xfrm>
                      <a:off x="0" y="0"/>
                      <a:ext cx="5278755" cy="3053055"/>
                    </a:xfrm>
                    <a:prstGeom prst="rect">
                      <a:avLst/>
                    </a:prstGeom>
                    <a:noFill/>
                    <a:ln w="9525">
                      <a:noFill/>
                      <a:miter lim="800000"/>
                      <a:headEnd/>
                      <a:tailEnd/>
                    </a:ln>
                  </pic:spPr>
                </pic:pic>
              </a:graphicData>
            </a:graphic>
          </wp:inline>
        </w:drawing>
      </w:r>
    </w:p>
    <w:p w:rsidR="0019394E" w:rsidRPr="0019394E" w:rsidRDefault="0019394E" w:rsidP="0019394E">
      <w:pPr>
        <w:spacing w:after="0" w:line="240" w:lineRule="auto"/>
        <w:jc w:val="left"/>
        <w:rPr>
          <w:b/>
          <w:noProof/>
          <w:lang w:eastAsia="en-GB"/>
        </w:rPr>
      </w:pPr>
      <w:r w:rsidRPr="0019394E">
        <w:rPr>
          <w:b/>
          <w:noProof/>
          <w:lang w:eastAsia="en-GB"/>
        </w:rPr>
        <w:lastRenderedPageBreak/>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482D79">
        <w:rPr>
          <w:b/>
        </w:rPr>
        <w:t>Two Seas</w:t>
      </w:r>
    </w:p>
    <w:p w:rsidR="0089569C" w:rsidRDefault="0089569C" w:rsidP="0089569C">
      <w:pPr>
        <w:spacing w:after="0" w:line="240" w:lineRule="auto"/>
        <w:jc w:val="left"/>
        <w:rPr>
          <w:noProof/>
          <w:lang w:eastAsia="en-GB"/>
        </w:rPr>
      </w:pPr>
    </w:p>
    <w:p w:rsidR="0089569C" w:rsidRDefault="005032A3" w:rsidP="0089569C">
      <w:pPr>
        <w:spacing w:after="0" w:line="240" w:lineRule="auto"/>
        <w:jc w:val="left"/>
        <w:rPr>
          <w:noProof/>
          <w:lang w:eastAsia="en-GB"/>
        </w:rPr>
      </w:pPr>
      <w:r w:rsidRPr="005032A3">
        <w:rPr>
          <w:noProof/>
          <w:lang w:val="de-DE" w:eastAsia="de-DE"/>
        </w:rPr>
        <w:pict>
          <v:shape id="_x0000_s1035" style="position:absolute;margin-left:71.05pt;margin-top:199.45pt;width:74.95pt;height:43.45pt;z-index:251688448" coordsize="2415,1399" path="m57,666c114,578,328,469,456,452,584,435,724,566,827,566v103,,166,-71,249,-114c1159,409,1276,378,1326,309v50,-69,-8,-231,50,-270c1434,,1587,20,1675,74v88,54,128,254,228,292c2003,404,2193,225,2274,302v81,77,141,355,114,528c2361,1003,2235,1287,2110,1343v-125,56,-334,-118,-471,-178c1502,1105,1450,1008,1290,980,1130,952,873,994,677,994v-196,,-459,40,-563,-14c10,926,,754,57,666xe" filled="f" strokecolor="#0070c0" strokeweight="2pt">
            <v:path arrowok="t"/>
          </v:shape>
        </w:pict>
      </w:r>
      <w:r w:rsidR="007465FE">
        <w:rPr>
          <w:noProof/>
          <w:lang w:val="en-US"/>
        </w:rPr>
        <w:drawing>
          <wp:inline distT="0" distB="0" distL="0" distR="0">
            <wp:extent cx="5278755" cy="7214065"/>
            <wp:effectExtent l="19050" t="0" r="0" b="0"/>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981909" w:rsidRPr="0085195F" w:rsidRDefault="00981909" w:rsidP="00981909">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Default="00016B50" w:rsidP="0019394E">
      <w:pPr>
        <w:spacing w:after="0" w:line="240" w:lineRule="auto"/>
        <w:jc w:val="left"/>
        <w:rPr>
          <w: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for the CBC</w:t>
      </w:r>
      <w:r w:rsidR="00EB474E">
        <w:rPr>
          <w:b/>
          <w:noProof/>
          <w:lang w:eastAsia="en-GB"/>
        </w:rPr>
        <w:t xml:space="preserve"> </w:t>
      </w:r>
      <w:r w:rsidR="00482D79">
        <w:rPr>
          <w:b/>
        </w:rPr>
        <w:t>Two Seas</w:t>
      </w:r>
    </w:p>
    <w:p w:rsidR="00706510" w:rsidRPr="0019394E" w:rsidRDefault="00706510" w:rsidP="0019394E">
      <w:pPr>
        <w:spacing w:after="0" w:line="240" w:lineRule="auto"/>
        <w:jc w:val="left"/>
        <w:rPr>
          <w:b/>
          <w:noProof/>
          <w:lang w:eastAsia="en-GB"/>
        </w:rPr>
      </w:pPr>
    </w:p>
    <w:p w:rsidR="00706510" w:rsidRPr="00021CAB" w:rsidRDefault="00706510" w:rsidP="00706510">
      <w:pPr>
        <w:spacing w:after="240"/>
        <w:rPr>
          <w:i/>
        </w:rPr>
      </w:pPr>
      <w:r w:rsidRPr="00021CAB">
        <w:rPr>
          <w:i/>
        </w:rPr>
        <w:t>“Potential Accessibility Multimodal” scores accessibility of NUTS 3 regions by road, rail and air relative to the European average in an Accessibility Index.</w:t>
      </w:r>
    </w:p>
    <w:p w:rsidR="0089569C" w:rsidRDefault="005032A3" w:rsidP="0089569C">
      <w:pPr>
        <w:spacing w:after="0" w:line="240" w:lineRule="auto"/>
        <w:jc w:val="left"/>
        <w:rPr>
          <w:noProof/>
          <w:lang w:eastAsia="en-GB"/>
        </w:rPr>
      </w:pPr>
      <w:r w:rsidRPr="005032A3">
        <w:rPr>
          <w:i/>
          <w:noProof/>
          <w:lang w:val="de-DE" w:eastAsia="de-DE"/>
        </w:rPr>
        <w:pict>
          <v:shape id="_x0000_s1036" style="position:absolute;margin-left:64.75pt;margin-top:198.3pt;width:84.4pt;height:48.95pt;z-index:251689472" coordsize="2415,1399" path="m57,666c114,578,328,469,456,452,584,435,724,566,827,566v103,,166,-71,249,-114c1159,409,1276,378,1326,309v50,-69,-8,-231,50,-270c1434,,1587,20,1675,74v88,54,128,254,228,292c2003,404,2193,225,2274,302v81,77,141,355,114,528c2361,1003,2235,1287,2110,1343v-125,56,-334,-118,-471,-178c1502,1105,1450,1008,1290,980,1130,952,873,994,677,994v-196,,-459,40,-563,-14c10,926,,754,57,666xe" filled="f" strokecolor="#0070c0" strokeweight="2pt">
            <v:path arrowok="t"/>
          </v:shape>
        </w:pict>
      </w:r>
      <w:r w:rsidR="00B278BA">
        <w:rPr>
          <w:noProof/>
          <w:lang w:val="en-US"/>
        </w:rPr>
        <w:drawing>
          <wp:inline distT="0" distB="0" distL="0" distR="0">
            <wp:extent cx="5278755" cy="7444105"/>
            <wp:effectExtent l="19050" t="0" r="0" b="0"/>
            <wp:docPr id="19" name="Grafik 18"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6"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300512" w:rsidRDefault="003C5ED7" w:rsidP="0019394E">
      <w:pPr>
        <w:pStyle w:val="Heading1"/>
      </w:pPr>
      <w:r w:rsidRPr="00300512">
        <w:lastRenderedPageBreak/>
        <w:t>Recommended ESPON reading</w:t>
      </w:r>
    </w:p>
    <w:p w:rsidR="00300512" w:rsidRDefault="00300512" w:rsidP="00300512">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300512" w:rsidRDefault="00300512" w:rsidP="00300512">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300512" w:rsidRPr="00A0472D" w:rsidTr="00E742E6">
        <w:trPr>
          <w:trHeight w:val="203"/>
        </w:trPr>
        <w:tc>
          <w:tcPr>
            <w:tcW w:w="1276" w:type="dxa"/>
            <w:shd w:val="clear" w:color="auto" w:fill="auto"/>
          </w:tcPr>
          <w:p w:rsidR="00300512" w:rsidRPr="00A0472D" w:rsidRDefault="00300512" w:rsidP="00E742E6">
            <w:pPr>
              <w:spacing w:after="0" w:line="20" w:lineRule="atLeast"/>
              <w:rPr>
                <w:b/>
                <w:sz w:val="18"/>
                <w:szCs w:val="18"/>
              </w:rPr>
            </w:pPr>
            <w:r w:rsidRPr="00A0472D">
              <w:rPr>
                <w:b/>
                <w:sz w:val="18"/>
                <w:szCs w:val="18"/>
              </w:rPr>
              <w:t>ESPON study</w:t>
            </w:r>
          </w:p>
        </w:tc>
        <w:tc>
          <w:tcPr>
            <w:tcW w:w="1418" w:type="dxa"/>
            <w:shd w:val="clear" w:color="auto" w:fill="auto"/>
          </w:tcPr>
          <w:p w:rsidR="00300512" w:rsidRPr="00A0472D" w:rsidRDefault="00300512" w:rsidP="00E742E6">
            <w:pPr>
              <w:spacing w:after="0" w:line="20" w:lineRule="atLeast"/>
              <w:rPr>
                <w:b/>
                <w:sz w:val="18"/>
                <w:szCs w:val="18"/>
              </w:rPr>
            </w:pPr>
            <w:r w:rsidRPr="00A0472D">
              <w:rPr>
                <w:b/>
                <w:sz w:val="18"/>
                <w:szCs w:val="18"/>
              </w:rPr>
              <w:t>Topic</w:t>
            </w:r>
          </w:p>
        </w:tc>
        <w:tc>
          <w:tcPr>
            <w:tcW w:w="5670" w:type="dxa"/>
            <w:shd w:val="clear" w:color="auto" w:fill="auto"/>
          </w:tcPr>
          <w:p w:rsidR="00300512" w:rsidRPr="00A0472D" w:rsidRDefault="00300512" w:rsidP="00E742E6">
            <w:pPr>
              <w:spacing w:after="0" w:line="20" w:lineRule="atLeast"/>
              <w:rPr>
                <w:b/>
                <w:sz w:val="18"/>
                <w:szCs w:val="18"/>
              </w:rPr>
            </w:pPr>
            <w:r w:rsidRPr="00A0472D">
              <w:rPr>
                <w:b/>
                <w:sz w:val="18"/>
                <w:szCs w:val="18"/>
              </w:rPr>
              <w:t>Content</w:t>
            </w:r>
          </w:p>
        </w:tc>
      </w:tr>
      <w:tr w:rsidR="00300512" w:rsidRPr="00A0472D" w:rsidTr="00E742E6">
        <w:trPr>
          <w:trHeight w:val="274"/>
        </w:trPr>
        <w:tc>
          <w:tcPr>
            <w:tcW w:w="1276" w:type="dxa"/>
            <w:shd w:val="clear" w:color="auto" w:fill="FFFFFF" w:themeFill="background1"/>
          </w:tcPr>
          <w:p w:rsidR="00300512" w:rsidRPr="00A0472D" w:rsidRDefault="00300512" w:rsidP="00E742E6">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300512" w:rsidRPr="00A0472D" w:rsidRDefault="00300512" w:rsidP="00E742E6">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300512" w:rsidRPr="00A0472D" w:rsidRDefault="00300512" w:rsidP="00E742E6">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300512" w:rsidRPr="00A0472D" w:rsidTr="00E742E6">
        <w:trPr>
          <w:trHeight w:val="274"/>
        </w:trPr>
        <w:tc>
          <w:tcPr>
            <w:tcW w:w="1276" w:type="dxa"/>
            <w:shd w:val="clear" w:color="auto" w:fill="FFFFFF" w:themeFill="background1"/>
          </w:tcPr>
          <w:p w:rsidR="00300512" w:rsidRPr="00A0472D" w:rsidRDefault="00300512" w:rsidP="00E742E6">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300512" w:rsidRPr="00A0472D" w:rsidRDefault="00300512" w:rsidP="00E742E6">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300512" w:rsidRPr="00A0472D" w:rsidRDefault="00300512" w:rsidP="00E742E6">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300512" w:rsidRPr="00A0472D" w:rsidTr="00E742E6">
        <w:trPr>
          <w:trHeight w:val="274"/>
        </w:trPr>
        <w:tc>
          <w:tcPr>
            <w:tcW w:w="1276" w:type="dxa"/>
            <w:shd w:val="clear" w:color="auto" w:fill="FFFFFF" w:themeFill="background1"/>
          </w:tcPr>
          <w:p w:rsidR="00300512" w:rsidRPr="00A0472D" w:rsidRDefault="00300512" w:rsidP="00E742E6">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300512" w:rsidRPr="00A0472D" w:rsidRDefault="00300512" w:rsidP="00E742E6">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300512" w:rsidRPr="00A0472D" w:rsidRDefault="00300512" w:rsidP="00E742E6">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300512" w:rsidRPr="00A0472D" w:rsidTr="00E742E6">
        <w:trPr>
          <w:trHeight w:val="274"/>
        </w:trPr>
        <w:tc>
          <w:tcPr>
            <w:tcW w:w="1276" w:type="dxa"/>
            <w:shd w:val="clear" w:color="auto" w:fill="FFFFFF" w:themeFill="background1"/>
          </w:tcPr>
          <w:p w:rsidR="00300512" w:rsidRPr="00A0472D" w:rsidRDefault="00300512" w:rsidP="00E742E6">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300512" w:rsidRPr="00A0472D" w:rsidRDefault="00300512" w:rsidP="00E742E6">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300512" w:rsidRPr="00A0472D" w:rsidRDefault="00300512" w:rsidP="00E742E6">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300512" w:rsidRPr="00A0472D" w:rsidTr="00E742E6">
        <w:trPr>
          <w:trHeight w:val="274"/>
        </w:trPr>
        <w:tc>
          <w:tcPr>
            <w:tcW w:w="1276" w:type="dxa"/>
            <w:shd w:val="clear" w:color="auto" w:fill="FFFFFF" w:themeFill="background1"/>
          </w:tcPr>
          <w:p w:rsidR="00300512" w:rsidRPr="00A0472D" w:rsidRDefault="00300512" w:rsidP="00E742E6">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300512" w:rsidRPr="00A0472D" w:rsidRDefault="00300512" w:rsidP="00E742E6">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300512" w:rsidRPr="00347476" w:rsidRDefault="00300512" w:rsidP="00E742E6">
            <w:pPr>
              <w:spacing w:after="0" w:line="20" w:lineRule="atLeast"/>
              <w:rPr>
                <w:rFonts w:cs="Calibri"/>
                <w:sz w:val="18"/>
                <w:szCs w:val="20"/>
                <w:lang w:eastAsia="fr-FR"/>
              </w:rPr>
            </w:pPr>
            <w:r w:rsidRPr="00A0472D">
              <w:rPr>
                <w:rFonts w:cs="Calibri"/>
                <w:sz w:val="18"/>
                <w:szCs w:val="18"/>
                <w:lang w:eastAsia="fr-FR"/>
              </w:rPr>
              <w:t>It develops a method providing guidance on how ESPON results can add value to support territorial cooperation programmes (see map 27 and from map 36 to 39</w:t>
            </w:r>
            <w:r>
              <w:rPr>
                <w:rFonts w:cs="Calibri"/>
                <w:sz w:val="18"/>
                <w:szCs w:val="18"/>
                <w:lang w:eastAsia="fr-FR"/>
              </w:rPr>
              <w:t xml:space="preserve"> on</w:t>
            </w:r>
            <w:r w:rsidRPr="00A0472D">
              <w:rPr>
                <w:rFonts w:cs="Calibri"/>
                <w:sz w:val="18"/>
                <w:szCs w:val="18"/>
                <w:lang w:eastAsia="fr-FR"/>
              </w:rPr>
              <w:t xml:space="preserve"> potential accessibility indicators).</w:t>
            </w:r>
            <w:r>
              <w:rPr>
                <w:rFonts w:cs="Calibri"/>
                <w:sz w:val="18"/>
                <w:szCs w:val="18"/>
                <w:lang w:eastAsia="fr-FR"/>
              </w:rPr>
              <w:t xml:space="preserve"> It focuses on the p</w:t>
            </w:r>
            <w:r w:rsidRPr="00031B19">
              <w:rPr>
                <w:rFonts w:cs="Calibri"/>
                <w:sz w:val="18"/>
                <w:szCs w:val="20"/>
                <w:lang w:eastAsia="fr-FR"/>
              </w:rPr>
              <w:t>rovince of Zeeland (NL)</w:t>
            </w:r>
            <w:r>
              <w:rPr>
                <w:rFonts w:cs="Calibri"/>
                <w:sz w:val="18"/>
                <w:szCs w:val="20"/>
                <w:lang w:eastAsia="fr-FR"/>
              </w:rPr>
              <w:t xml:space="preserve"> and the </w:t>
            </w:r>
            <w:r w:rsidRPr="001F1C8C">
              <w:rPr>
                <w:rFonts w:cs="Calibri"/>
                <w:sz w:val="18"/>
                <w:szCs w:val="20"/>
                <w:lang w:eastAsia="fr-FR"/>
              </w:rPr>
              <w:t xml:space="preserve">INTERREG IVA ‘2 Seas’ </w:t>
            </w:r>
            <w:r>
              <w:rPr>
                <w:rFonts w:cs="Calibri"/>
                <w:sz w:val="18"/>
                <w:szCs w:val="20"/>
                <w:lang w:eastAsia="fr-FR"/>
              </w:rPr>
              <w:t>area</w:t>
            </w:r>
            <w:r w:rsidRPr="001F1C8C">
              <w:rPr>
                <w:rFonts w:cs="Calibri"/>
                <w:sz w:val="18"/>
                <w:szCs w:val="20"/>
                <w:lang w:eastAsia="fr-FR"/>
              </w:rPr>
              <w:t xml:space="preserve">. </w:t>
            </w:r>
          </w:p>
        </w:tc>
      </w:tr>
      <w:tr w:rsidR="00300512" w:rsidRPr="00A0472D" w:rsidTr="00E742E6">
        <w:trPr>
          <w:trHeight w:val="274"/>
        </w:trPr>
        <w:tc>
          <w:tcPr>
            <w:tcW w:w="1276" w:type="dxa"/>
            <w:tcBorders>
              <w:bottom w:val="single" w:sz="4" w:space="0" w:color="auto"/>
            </w:tcBorders>
            <w:shd w:val="clear" w:color="auto" w:fill="FFFFFF" w:themeFill="background1"/>
          </w:tcPr>
          <w:p w:rsidR="00300512" w:rsidRPr="00A0472D" w:rsidRDefault="00300512" w:rsidP="00E742E6">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300512" w:rsidRPr="00A0472D" w:rsidRDefault="00300512" w:rsidP="00E742E6">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300512" w:rsidRPr="00A0472D" w:rsidRDefault="00300512" w:rsidP="00E742E6">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300512" w:rsidRPr="00A0472D" w:rsidTr="00E742E6">
        <w:trPr>
          <w:trHeight w:val="274"/>
        </w:trPr>
        <w:tc>
          <w:tcPr>
            <w:tcW w:w="1276" w:type="dxa"/>
            <w:shd w:val="clear" w:color="auto" w:fill="FFFFFF" w:themeFill="background1"/>
          </w:tcPr>
          <w:p w:rsidR="00300512" w:rsidRPr="008152C4" w:rsidRDefault="00300512" w:rsidP="00E742E6">
            <w:pPr>
              <w:spacing w:after="0" w:line="20" w:lineRule="atLeast"/>
              <w:rPr>
                <w:sz w:val="18"/>
                <w:szCs w:val="18"/>
              </w:rPr>
            </w:pPr>
            <w:r>
              <w:rPr>
                <w:sz w:val="18"/>
                <w:szCs w:val="18"/>
              </w:rPr>
              <w:t>KIT</w:t>
            </w:r>
          </w:p>
        </w:tc>
        <w:tc>
          <w:tcPr>
            <w:tcW w:w="1418" w:type="dxa"/>
            <w:shd w:val="clear" w:color="auto" w:fill="FFFFFF" w:themeFill="background1"/>
          </w:tcPr>
          <w:p w:rsidR="00300512" w:rsidRPr="008152C4" w:rsidRDefault="00300512" w:rsidP="00E742E6">
            <w:pPr>
              <w:spacing w:after="0" w:line="20" w:lineRule="atLeast"/>
              <w:rPr>
                <w:sz w:val="18"/>
                <w:szCs w:val="18"/>
              </w:rPr>
            </w:pPr>
            <w:r w:rsidRPr="008152C4">
              <w:rPr>
                <w:sz w:val="18"/>
                <w:szCs w:val="18"/>
              </w:rPr>
              <w:t>Innovation</w:t>
            </w:r>
          </w:p>
        </w:tc>
        <w:tc>
          <w:tcPr>
            <w:tcW w:w="5670" w:type="dxa"/>
            <w:shd w:val="clear" w:color="auto" w:fill="FFFFFF" w:themeFill="background1"/>
          </w:tcPr>
          <w:p w:rsidR="00300512" w:rsidRPr="008152C4" w:rsidRDefault="00300512" w:rsidP="00E742E6">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300512" w:rsidRPr="00A0472D" w:rsidTr="00E742E6">
        <w:trPr>
          <w:trHeight w:val="274"/>
        </w:trPr>
        <w:tc>
          <w:tcPr>
            <w:tcW w:w="1276" w:type="dxa"/>
            <w:shd w:val="clear" w:color="auto" w:fill="FFFFFF" w:themeFill="background1"/>
          </w:tcPr>
          <w:p w:rsidR="00300512" w:rsidRPr="00A0472D" w:rsidRDefault="00300512" w:rsidP="00E742E6">
            <w:pPr>
              <w:spacing w:after="0" w:line="20" w:lineRule="atLeast"/>
              <w:rPr>
                <w:sz w:val="18"/>
                <w:szCs w:val="18"/>
              </w:rPr>
            </w:pPr>
            <w:r w:rsidRPr="008152C4">
              <w:rPr>
                <w:sz w:val="18"/>
                <w:szCs w:val="18"/>
              </w:rPr>
              <w:t>SGPTD</w:t>
            </w:r>
          </w:p>
        </w:tc>
        <w:tc>
          <w:tcPr>
            <w:tcW w:w="1418" w:type="dxa"/>
            <w:shd w:val="clear" w:color="auto" w:fill="FFFFFF" w:themeFill="background1"/>
          </w:tcPr>
          <w:p w:rsidR="00300512" w:rsidRPr="00A0472D" w:rsidRDefault="00300512" w:rsidP="00E742E6">
            <w:pPr>
              <w:spacing w:after="0" w:line="20" w:lineRule="atLeast"/>
              <w:rPr>
                <w:sz w:val="18"/>
                <w:szCs w:val="18"/>
              </w:rPr>
            </w:pPr>
            <w:r w:rsidRPr="008152C4">
              <w:rPr>
                <w:sz w:val="18"/>
                <w:szCs w:val="18"/>
              </w:rPr>
              <w:t>Growth poles</w:t>
            </w:r>
          </w:p>
        </w:tc>
        <w:tc>
          <w:tcPr>
            <w:tcW w:w="5670" w:type="dxa"/>
            <w:shd w:val="clear" w:color="auto" w:fill="FFFFFF" w:themeFill="background1"/>
          </w:tcPr>
          <w:p w:rsidR="00300512" w:rsidRPr="00A0472D" w:rsidRDefault="00300512" w:rsidP="00E742E6">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300512" w:rsidRPr="00347476" w:rsidTr="00E742E6">
        <w:trPr>
          <w:trHeight w:val="274"/>
        </w:trPr>
        <w:tc>
          <w:tcPr>
            <w:tcW w:w="1276" w:type="dxa"/>
            <w:shd w:val="clear" w:color="auto" w:fill="FFFFFF" w:themeFill="background1"/>
          </w:tcPr>
          <w:p w:rsidR="00300512" w:rsidRPr="00031B19" w:rsidRDefault="00300512" w:rsidP="00E742E6">
            <w:pPr>
              <w:spacing w:after="0" w:line="20" w:lineRule="atLeast"/>
              <w:rPr>
                <w:sz w:val="18"/>
                <w:szCs w:val="18"/>
              </w:rPr>
            </w:pPr>
            <w:r w:rsidRPr="00347476">
              <w:rPr>
                <w:sz w:val="18"/>
                <w:szCs w:val="18"/>
              </w:rPr>
              <w:t>ATTREG</w:t>
            </w:r>
          </w:p>
        </w:tc>
        <w:tc>
          <w:tcPr>
            <w:tcW w:w="1418" w:type="dxa"/>
            <w:shd w:val="clear" w:color="auto" w:fill="FFFFFF" w:themeFill="background1"/>
          </w:tcPr>
          <w:p w:rsidR="00300512" w:rsidRPr="00031B19" w:rsidRDefault="00300512" w:rsidP="00E742E6">
            <w:pPr>
              <w:spacing w:after="0" w:line="20" w:lineRule="atLeast"/>
              <w:rPr>
                <w:sz w:val="18"/>
                <w:szCs w:val="18"/>
              </w:rPr>
            </w:pPr>
            <w:r w:rsidRPr="00031B19">
              <w:rPr>
                <w:sz w:val="18"/>
                <w:szCs w:val="18"/>
              </w:rPr>
              <w:t>Attractive</w:t>
            </w:r>
            <w:r>
              <w:rPr>
                <w:sz w:val="18"/>
                <w:szCs w:val="18"/>
              </w:rPr>
              <w:t>-</w:t>
            </w:r>
            <w:r w:rsidRPr="00031B19">
              <w:rPr>
                <w:sz w:val="18"/>
                <w:szCs w:val="18"/>
              </w:rPr>
              <w:t>ness</w:t>
            </w:r>
          </w:p>
        </w:tc>
        <w:tc>
          <w:tcPr>
            <w:tcW w:w="5670" w:type="dxa"/>
            <w:shd w:val="clear" w:color="auto" w:fill="FFFFFF" w:themeFill="background1"/>
          </w:tcPr>
          <w:p w:rsidR="00300512" w:rsidRPr="00347476" w:rsidRDefault="00300512" w:rsidP="00E742E6">
            <w:pPr>
              <w:spacing w:after="0" w:line="20" w:lineRule="atLeast"/>
              <w:rPr>
                <w:sz w:val="18"/>
                <w:szCs w:val="18"/>
              </w:rPr>
            </w:pPr>
            <w:r w:rsidRPr="00347476">
              <w:rPr>
                <w:sz w:val="18"/>
                <w:szCs w:val="18"/>
              </w:rPr>
              <w:t xml:space="preserve">The project </w:t>
            </w:r>
            <w:r>
              <w:rPr>
                <w:sz w:val="18"/>
                <w:szCs w:val="18"/>
              </w:rPr>
              <w:t>describes</w:t>
            </w:r>
            <w:r w:rsidRPr="00347476">
              <w:rPr>
                <w:sz w:val="18"/>
                <w:szCs w:val="18"/>
              </w:rPr>
              <w:t xml:space="preserve"> the contribution of European regions and cities to economic performance. It describes the following cases: Cornwall, the Isles of Scilly </w:t>
            </w:r>
            <w:r>
              <w:rPr>
                <w:sz w:val="18"/>
                <w:szCs w:val="18"/>
              </w:rPr>
              <w:t xml:space="preserve">(see </w:t>
            </w:r>
            <w:r w:rsidRPr="00347476">
              <w:rPr>
                <w:sz w:val="18"/>
                <w:szCs w:val="18"/>
              </w:rPr>
              <w:t xml:space="preserve">annex 4). </w:t>
            </w:r>
          </w:p>
        </w:tc>
      </w:tr>
      <w:tr w:rsidR="00300512" w:rsidRPr="00347476" w:rsidTr="00E742E6">
        <w:trPr>
          <w:trHeight w:val="372"/>
        </w:trPr>
        <w:tc>
          <w:tcPr>
            <w:tcW w:w="1276" w:type="dxa"/>
            <w:shd w:val="clear" w:color="auto" w:fill="FFFFFF" w:themeFill="background1"/>
            <w:hideMark/>
          </w:tcPr>
          <w:p w:rsidR="00300512" w:rsidRPr="00347476" w:rsidRDefault="00300512" w:rsidP="00E742E6">
            <w:pPr>
              <w:spacing w:after="0" w:line="20" w:lineRule="atLeast"/>
              <w:rPr>
                <w:sz w:val="18"/>
                <w:szCs w:val="18"/>
              </w:rPr>
            </w:pPr>
            <w:r w:rsidRPr="00347476">
              <w:rPr>
                <w:sz w:val="18"/>
                <w:szCs w:val="18"/>
              </w:rPr>
              <w:t xml:space="preserve">GEOSPECS </w:t>
            </w:r>
          </w:p>
        </w:tc>
        <w:tc>
          <w:tcPr>
            <w:tcW w:w="1418" w:type="dxa"/>
            <w:shd w:val="clear" w:color="auto" w:fill="FFFFFF" w:themeFill="background1"/>
          </w:tcPr>
          <w:p w:rsidR="00300512" w:rsidRPr="00031B19" w:rsidRDefault="00300512" w:rsidP="00E742E6">
            <w:pPr>
              <w:spacing w:after="0" w:line="20" w:lineRule="atLeast"/>
              <w:rPr>
                <w:sz w:val="18"/>
                <w:szCs w:val="18"/>
              </w:rPr>
            </w:pPr>
            <w:r w:rsidRPr="00767429">
              <w:rPr>
                <w:sz w:val="18"/>
                <w:szCs w:val="18"/>
              </w:rPr>
              <w:t>Specific types of territories</w:t>
            </w:r>
          </w:p>
        </w:tc>
        <w:tc>
          <w:tcPr>
            <w:tcW w:w="5670" w:type="dxa"/>
            <w:shd w:val="clear" w:color="auto" w:fill="FFFFFF" w:themeFill="background1"/>
          </w:tcPr>
          <w:p w:rsidR="00300512" w:rsidRPr="00347476" w:rsidRDefault="00300512" w:rsidP="00E742E6">
            <w:pPr>
              <w:spacing w:after="0" w:line="20" w:lineRule="atLeast"/>
              <w:rPr>
                <w:sz w:val="18"/>
                <w:szCs w:val="18"/>
              </w:rPr>
            </w:pPr>
            <w:r w:rsidRPr="00347476">
              <w:rPr>
                <w:sz w:val="18"/>
                <w:szCs w:val="18"/>
              </w:rPr>
              <w:t xml:space="preserve">The study describes specific types of territories and regions (see annex 30 for the case study of the Belgian Coast). </w:t>
            </w:r>
          </w:p>
        </w:tc>
      </w:tr>
    </w:tbl>
    <w:p w:rsidR="00300512" w:rsidRDefault="00300512" w:rsidP="00300512">
      <w:pPr>
        <w:spacing w:before="240"/>
      </w:pPr>
      <w:r>
        <w:t>Furthermore, some of overall ESPON products of particular interest for territorial cooperation are:</w:t>
      </w:r>
    </w:p>
    <w:p w:rsidR="00300512" w:rsidRDefault="00300512" w:rsidP="00300512">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300512" w:rsidRDefault="00300512" w:rsidP="00300512">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300512" w:rsidRPr="00A33083" w:rsidRDefault="00300512" w:rsidP="00300512">
      <w:pPr>
        <w:pStyle w:val="ListParagraph"/>
        <w:numPr>
          <w:ilvl w:val="0"/>
          <w:numId w:val="4"/>
        </w:numPr>
      </w:pPr>
      <w:r w:rsidRPr="00112693">
        <w:rPr>
          <w:b/>
        </w:rPr>
        <w:t>ESPON 2013 Database</w:t>
      </w:r>
      <w:r w:rsidRPr="00A33083">
        <w:t xml:space="preserve"> provides regional information provided by </w:t>
      </w:r>
      <w:hyperlink r:id="rId27" w:history="1">
        <w:r w:rsidRPr="00A33083">
          <w:t>ESPON projects</w:t>
        </w:r>
      </w:hyperlink>
      <w:r w:rsidRPr="00A33083">
        <w:t xml:space="preserve"> and </w:t>
      </w:r>
      <w:hyperlink r:id="rId28" w:history="1">
        <w:r w:rsidRPr="00A33083">
          <w:t>EUROSTAT</w:t>
        </w:r>
      </w:hyperlink>
      <w:r w:rsidRPr="00A33083">
        <w:t xml:space="preserve">. </w:t>
      </w:r>
    </w:p>
    <w:p w:rsidR="00300512" w:rsidRDefault="00300512" w:rsidP="00300512">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300512" w:rsidRPr="00CD642B" w:rsidRDefault="00300512" w:rsidP="00300512">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300512" w:rsidRDefault="00300512" w:rsidP="00300512">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3C5ED7" w:rsidRPr="00300512" w:rsidRDefault="00300512" w:rsidP="00300512">
      <w:pPr>
        <w:jc w:val="center"/>
      </w:pPr>
      <w:r w:rsidRPr="00CD642B">
        <w:t>All ESPON reports and tools are freely available at</w:t>
      </w:r>
      <w:r>
        <w:br/>
      </w:r>
      <w:r w:rsidRPr="00CD642B">
        <w:rPr>
          <w:b/>
        </w:rPr>
        <w:t>www.espon.eu</w:t>
      </w:r>
    </w:p>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9"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5032A3" w:rsidRPr="005032A3">
        <w:rPr>
          <w:rFonts w:ascii="Arial" w:hAnsi="Arial" w:cs="Arial"/>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E93CA8" w:rsidRPr="00FB783A" w:rsidRDefault="00E93CA8"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30"/>
      <w:footerReference w:type="default" r:id="rId31"/>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6EC6" w:rsidRDefault="00116EC6">
      <w:r>
        <w:separator/>
      </w:r>
    </w:p>
  </w:endnote>
  <w:endnote w:type="continuationSeparator" w:id="0">
    <w:p w:rsidR="00116EC6" w:rsidRDefault="00116EC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Default="005032A3" w:rsidP="00BC65E1">
    <w:pPr>
      <w:framePr w:wrap="around" w:vAnchor="text" w:hAnchor="margin" w:xAlign="right" w:y="1"/>
      <w:rPr>
        <w:rStyle w:val="PageNumber"/>
      </w:rPr>
    </w:pPr>
    <w:r>
      <w:rPr>
        <w:rStyle w:val="PageNumber"/>
      </w:rPr>
      <w:fldChar w:fldCharType="begin"/>
    </w:r>
    <w:r w:rsidR="00E93CA8">
      <w:rPr>
        <w:rStyle w:val="PageNumber"/>
      </w:rPr>
      <w:instrText xml:space="preserve">PAGE  </w:instrText>
    </w:r>
    <w:r>
      <w:rPr>
        <w:rStyle w:val="PageNumber"/>
      </w:rPr>
      <w:fldChar w:fldCharType="separate"/>
    </w:r>
    <w:r w:rsidR="00E93CA8">
      <w:rPr>
        <w:rStyle w:val="PageNumber"/>
        <w:noProof/>
      </w:rPr>
      <w:t>3</w:t>
    </w:r>
    <w:r>
      <w:rPr>
        <w:rStyle w:val="PageNumber"/>
      </w:rPr>
      <w:fldChar w:fldCharType="end"/>
    </w:r>
  </w:p>
  <w:p w:rsidR="00E93CA8" w:rsidRDefault="00E93CA8">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Pr="00A15B61" w:rsidRDefault="005032A3" w:rsidP="00BC65E1">
    <w:pPr>
      <w:pStyle w:val="Footer"/>
      <w:framePr w:wrap="around" w:vAnchor="text" w:hAnchor="margin" w:xAlign="right" w:y="1"/>
      <w:rPr>
        <w:rStyle w:val="PageNumber"/>
      </w:rPr>
    </w:pPr>
    <w:r w:rsidRPr="00A15B61">
      <w:rPr>
        <w:rStyle w:val="PageNumber"/>
        <w:szCs w:val="20"/>
      </w:rPr>
      <w:fldChar w:fldCharType="begin"/>
    </w:r>
    <w:r w:rsidR="00E93CA8">
      <w:rPr>
        <w:rStyle w:val="PageNumber"/>
        <w:szCs w:val="20"/>
      </w:rPr>
      <w:instrText>PAGE</w:instrText>
    </w:r>
    <w:r w:rsidR="00E93CA8" w:rsidRPr="00A15B61">
      <w:rPr>
        <w:rStyle w:val="PageNumber"/>
        <w:szCs w:val="20"/>
      </w:rPr>
      <w:instrText xml:space="preserve">  </w:instrText>
    </w:r>
    <w:r w:rsidRPr="00A15B61">
      <w:rPr>
        <w:rStyle w:val="PageNumber"/>
        <w:szCs w:val="20"/>
      </w:rPr>
      <w:fldChar w:fldCharType="separate"/>
    </w:r>
    <w:r w:rsidR="00981909">
      <w:rPr>
        <w:rStyle w:val="PageNumber"/>
        <w:noProof/>
        <w:szCs w:val="20"/>
      </w:rPr>
      <w:t>1</w:t>
    </w:r>
    <w:r w:rsidRPr="00A15B61">
      <w:rPr>
        <w:rStyle w:val="PageNumber"/>
        <w:szCs w:val="20"/>
      </w:rPr>
      <w:fldChar w:fldCharType="end"/>
    </w:r>
  </w:p>
  <w:p w:rsidR="00E93CA8" w:rsidRPr="00A15B61" w:rsidRDefault="00E93CA8"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Pr="00A15B61" w:rsidRDefault="005032A3" w:rsidP="00BC65E1">
    <w:pPr>
      <w:pStyle w:val="Footer"/>
      <w:framePr w:wrap="around" w:vAnchor="text" w:hAnchor="margin" w:xAlign="right" w:y="1"/>
      <w:rPr>
        <w:rStyle w:val="PageNumber"/>
      </w:rPr>
    </w:pPr>
    <w:r w:rsidRPr="00A15B61">
      <w:rPr>
        <w:rStyle w:val="PageNumber"/>
        <w:szCs w:val="20"/>
      </w:rPr>
      <w:fldChar w:fldCharType="begin"/>
    </w:r>
    <w:r w:rsidR="00E93CA8">
      <w:rPr>
        <w:rStyle w:val="PageNumber"/>
        <w:szCs w:val="20"/>
      </w:rPr>
      <w:instrText>PAGE</w:instrText>
    </w:r>
    <w:r w:rsidR="00E93CA8" w:rsidRPr="00A15B61">
      <w:rPr>
        <w:rStyle w:val="PageNumber"/>
        <w:szCs w:val="20"/>
      </w:rPr>
      <w:instrText xml:space="preserve">  </w:instrText>
    </w:r>
    <w:r w:rsidRPr="00A15B61">
      <w:rPr>
        <w:rStyle w:val="PageNumber"/>
        <w:szCs w:val="20"/>
      </w:rPr>
      <w:fldChar w:fldCharType="separate"/>
    </w:r>
    <w:r w:rsidR="00981909">
      <w:rPr>
        <w:rStyle w:val="PageNumber"/>
        <w:noProof/>
        <w:szCs w:val="20"/>
      </w:rPr>
      <w:t>16</w:t>
    </w:r>
    <w:r w:rsidRPr="00A15B61">
      <w:rPr>
        <w:rStyle w:val="PageNumber"/>
        <w:szCs w:val="20"/>
      </w:rPr>
      <w:fldChar w:fldCharType="end"/>
    </w:r>
  </w:p>
  <w:p w:rsidR="00E93CA8" w:rsidRPr="00A15B61" w:rsidRDefault="00E93CA8"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6EC6" w:rsidRDefault="00116EC6">
      <w:r>
        <w:separator/>
      </w:r>
    </w:p>
  </w:footnote>
  <w:footnote w:type="continuationSeparator" w:id="0">
    <w:p w:rsidR="00116EC6" w:rsidRDefault="00116E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Default="005032A3">
    <w:pPr>
      <w:pStyle w:val="Header"/>
    </w:pPr>
    <w:r w:rsidRPr="005032A3">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E93CA8" w:rsidRDefault="009B2BE6" w:rsidP="00BC65E1">
                <w:pPr>
                  <w:spacing w:line="240" w:lineRule="auto"/>
                  <w:ind w:left="425" w:right="530"/>
                  <w:jc w:val="center"/>
                  <w:rPr>
                    <w:rFonts w:ascii="Arial" w:hAnsi="Arial" w:cs="Arial"/>
                    <w:sz w:val="60"/>
                    <w:szCs w:val="60"/>
                  </w:rPr>
                </w:pPr>
                <w:r>
                  <w:rPr>
                    <w:rFonts w:ascii="Arial" w:hAnsi="Arial" w:cs="Arial"/>
                    <w:sz w:val="60"/>
                    <w:szCs w:val="60"/>
                  </w:rPr>
                  <w:t>ESPON</w:t>
                </w:r>
                <w:r w:rsidR="00E93CA8">
                  <w:rPr>
                    <w:rFonts w:ascii="Arial" w:hAnsi="Arial" w:cs="Arial"/>
                    <w:sz w:val="60"/>
                    <w:szCs w:val="60"/>
                  </w:rPr>
                  <w:t xml:space="preserve"> </w:t>
                </w:r>
                <w:r w:rsidR="00E93CA8">
                  <w:rPr>
                    <w:rFonts w:ascii="Arial" w:hAnsi="Arial" w:cs="Arial"/>
                    <w:sz w:val="60"/>
                    <w:szCs w:val="60"/>
                  </w:rPr>
                  <w:br/>
                  <w:t xml:space="preserve">Factsheet </w:t>
                </w:r>
              </w:p>
              <w:p w:rsidR="00E93CA8" w:rsidRPr="00721B03" w:rsidRDefault="00E93CA8"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E93CA8">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Default="00E93CA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10DE4"/>
    <w:rsid w:val="00011481"/>
    <w:rsid w:val="00011C3D"/>
    <w:rsid w:val="00012892"/>
    <w:rsid w:val="00014F20"/>
    <w:rsid w:val="00016919"/>
    <w:rsid w:val="00016B50"/>
    <w:rsid w:val="000172BC"/>
    <w:rsid w:val="00020978"/>
    <w:rsid w:val="0002197F"/>
    <w:rsid w:val="00021A06"/>
    <w:rsid w:val="00031AEC"/>
    <w:rsid w:val="00032745"/>
    <w:rsid w:val="00037716"/>
    <w:rsid w:val="00041991"/>
    <w:rsid w:val="00041A22"/>
    <w:rsid w:val="0004221D"/>
    <w:rsid w:val="00043F45"/>
    <w:rsid w:val="00050AB6"/>
    <w:rsid w:val="000527DC"/>
    <w:rsid w:val="00053B99"/>
    <w:rsid w:val="000540A5"/>
    <w:rsid w:val="00055A97"/>
    <w:rsid w:val="000576BC"/>
    <w:rsid w:val="00057C8A"/>
    <w:rsid w:val="00061CE3"/>
    <w:rsid w:val="00063161"/>
    <w:rsid w:val="00064853"/>
    <w:rsid w:val="000664C7"/>
    <w:rsid w:val="00072557"/>
    <w:rsid w:val="00073957"/>
    <w:rsid w:val="00073BFF"/>
    <w:rsid w:val="00077C32"/>
    <w:rsid w:val="000812A6"/>
    <w:rsid w:val="00083607"/>
    <w:rsid w:val="00085BAD"/>
    <w:rsid w:val="00086387"/>
    <w:rsid w:val="000A0B9B"/>
    <w:rsid w:val="000A0F69"/>
    <w:rsid w:val="000A647A"/>
    <w:rsid w:val="000B3819"/>
    <w:rsid w:val="000B4718"/>
    <w:rsid w:val="000B58AA"/>
    <w:rsid w:val="000B6BB9"/>
    <w:rsid w:val="000B7A7D"/>
    <w:rsid w:val="000B7F4E"/>
    <w:rsid w:val="000C36A1"/>
    <w:rsid w:val="000C4070"/>
    <w:rsid w:val="000C6D9A"/>
    <w:rsid w:val="000C716F"/>
    <w:rsid w:val="000D0D18"/>
    <w:rsid w:val="000D57C9"/>
    <w:rsid w:val="000D7CC4"/>
    <w:rsid w:val="000E6CC8"/>
    <w:rsid w:val="000E76EB"/>
    <w:rsid w:val="000F0C99"/>
    <w:rsid w:val="000F1BA2"/>
    <w:rsid w:val="000F2140"/>
    <w:rsid w:val="00102BDD"/>
    <w:rsid w:val="00102FFA"/>
    <w:rsid w:val="00104631"/>
    <w:rsid w:val="00105B9D"/>
    <w:rsid w:val="00106DD0"/>
    <w:rsid w:val="00112060"/>
    <w:rsid w:val="001120BB"/>
    <w:rsid w:val="00112693"/>
    <w:rsid w:val="00114DAF"/>
    <w:rsid w:val="00116EC6"/>
    <w:rsid w:val="0011785C"/>
    <w:rsid w:val="0012533B"/>
    <w:rsid w:val="001260F4"/>
    <w:rsid w:val="00127104"/>
    <w:rsid w:val="00132FDD"/>
    <w:rsid w:val="00133602"/>
    <w:rsid w:val="00134DC7"/>
    <w:rsid w:val="001353FE"/>
    <w:rsid w:val="0013600B"/>
    <w:rsid w:val="001507D7"/>
    <w:rsid w:val="00150A5A"/>
    <w:rsid w:val="00150FCB"/>
    <w:rsid w:val="00151954"/>
    <w:rsid w:val="00152974"/>
    <w:rsid w:val="00153108"/>
    <w:rsid w:val="0015691A"/>
    <w:rsid w:val="00157B13"/>
    <w:rsid w:val="00162FF6"/>
    <w:rsid w:val="0016435C"/>
    <w:rsid w:val="00172B99"/>
    <w:rsid w:val="00177F91"/>
    <w:rsid w:val="00180D67"/>
    <w:rsid w:val="00182673"/>
    <w:rsid w:val="001838FE"/>
    <w:rsid w:val="00184B93"/>
    <w:rsid w:val="001907DA"/>
    <w:rsid w:val="00191F3D"/>
    <w:rsid w:val="001929F2"/>
    <w:rsid w:val="0019394E"/>
    <w:rsid w:val="00193F6F"/>
    <w:rsid w:val="001A0A8D"/>
    <w:rsid w:val="001A30F4"/>
    <w:rsid w:val="001A3453"/>
    <w:rsid w:val="001A42AD"/>
    <w:rsid w:val="001A7669"/>
    <w:rsid w:val="001B0526"/>
    <w:rsid w:val="001B13B6"/>
    <w:rsid w:val="001B300C"/>
    <w:rsid w:val="001B6A94"/>
    <w:rsid w:val="001C043A"/>
    <w:rsid w:val="001C0C1D"/>
    <w:rsid w:val="001C0F06"/>
    <w:rsid w:val="001C4CA6"/>
    <w:rsid w:val="001C7CD0"/>
    <w:rsid w:val="001D0F57"/>
    <w:rsid w:val="001D187B"/>
    <w:rsid w:val="001D594F"/>
    <w:rsid w:val="001E0103"/>
    <w:rsid w:val="001E0ECB"/>
    <w:rsid w:val="001E2507"/>
    <w:rsid w:val="001E4F95"/>
    <w:rsid w:val="001E5F4A"/>
    <w:rsid w:val="001F0A8E"/>
    <w:rsid w:val="001F236D"/>
    <w:rsid w:val="001F4647"/>
    <w:rsid w:val="001F5D67"/>
    <w:rsid w:val="002004FA"/>
    <w:rsid w:val="00200704"/>
    <w:rsid w:val="00207B3F"/>
    <w:rsid w:val="0021343D"/>
    <w:rsid w:val="002146DB"/>
    <w:rsid w:val="0022077E"/>
    <w:rsid w:val="00220A8C"/>
    <w:rsid w:val="002214A4"/>
    <w:rsid w:val="00221A45"/>
    <w:rsid w:val="00223DE3"/>
    <w:rsid w:val="002250F3"/>
    <w:rsid w:val="00227551"/>
    <w:rsid w:val="00227652"/>
    <w:rsid w:val="0023321A"/>
    <w:rsid w:val="002371D8"/>
    <w:rsid w:val="00247A93"/>
    <w:rsid w:val="00250C17"/>
    <w:rsid w:val="00253237"/>
    <w:rsid w:val="0025373C"/>
    <w:rsid w:val="002605E0"/>
    <w:rsid w:val="0026077F"/>
    <w:rsid w:val="00264534"/>
    <w:rsid w:val="00265996"/>
    <w:rsid w:val="00276DA6"/>
    <w:rsid w:val="00281A82"/>
    <w:rsid w:val="00282854"/>
    <w:rsid w:val="00285BF3"/>
    <w:rsid w:val="002923B9"/>
    <w:rsid w:val="00293ABA"/>
    <w:rsid w:val="00293DE9"/>
    <w:rsid w:val="00294042"/>
    <w:rsid w:val="002949F4"/>
    <w:rsid w:val="002977F3"/>
    <w:rsid w:val="002A0221"/>
    <w:rsid w:val="002A2C96"/>
    <w:rsid w:val="002A7776"/>
    <w:rsid w:val="002B1929"/>
    <w:rsid w:val="002B51CA"/>
    <w:rsid w:val="002B71A8"/>
    <w:rsid w:val="002C06ED"/>
    <w:rsid w:val="002C2CBC"/>
    <w:rsid w:val="002C4473"/>
    <w:rsid w:val="002C780D"/>
    <w:rsid w:val="002D1443"/>
    <w:rsid w:val="002D3185"/>
    <w:rsid w:val="002D5B13"/>
    <w:rsid w:val="002E0490"/>
    <w:rsid w:val="002E20E5"/>
    <w:rsid w:val="002E529A"/>
    <w:rsid w:val="002E619E"/>
    <w:rsid w:val="002F1D75"/>
    <w:rsid w:val="002F4B38"/>
    <w:rsid w:val="002F713F"/>
    <w:rsid w:val="00300512"/>
    <w:rsid w:val="00303833"/>
    <w:rsid w:val="00304555"/>
    <w:rsid w:val="00304A46"/>
    <w:rsid w:val="003052B2"/>
    <w:rsid w:val="0030699A"/>
    <w:rsid w:val="00322B33"/>
    <w:rsid w:val="003253E2"/>
    <w:rsid w:val="003351B4"/>
    <w:rsid w:val="00337519"/>
    <w:rsid w:val="00337872"/>
    <w:rsid w:val="00344591"/>
    <w:rsid w:val="00350F79"/>
    <w:rsid w:val="00351255"/>
    <w:rsid w:val="00351563"/>
    <w:rsid w:val="003526D5"/>
    <w:rsid w:val="00352B1D"/>
    <w:rsid w:val="00352D76"/>
    <w:rsid w:val="00353B5C"/>
    <w:rsid w:val="0035504D"/>
    <w:rsid w:val="00362CD8"/>
    <w:rsid w:val="00362D4C"/>
    <w:rsid w:val="00371DBA"/>
    <w:rsid w:val="00373AFF"/>
    <w:rsid w:val="0037440D"/>
    <w:rsid w:val="00376B51"/>
    <w:rsid w:val="00383954"/>
    <w:rsid w:val="00384F28"/>
    <w:rsid w:val="003860B2"/>
    <w:rsid w:val="00391559"/>
    <w:rsid w:val="00391CD5"/>
    <w:rsid w:val="0039373B"/>
    <w:rsid w:val="00396D72"/>
    <w:rsid w:val="00397CB9"/>
    <w:rsid w:val="003A016A"/>
    <w:rsid w:val="003A27BC"/>
    <w:rsid w:val="003A2F36"/>
    <w:rsid w:val="003B0962"/>
    <w:rsid w:val="003B21D4"/>
    <w:rsid w:val="003C112D"/>
    <w:rsid w:val="003C261B"/>
    <w:rsid w:val="003C354A"/>
    <w:rsid w:val="003C3688"/>
    <w:rsid w:val="003C4DAF"/>
    <w:rsid w:val="003C5ED7"/>
    <w:rsid w:val="003D1B4F"/>
    <w:rsid w:val="003D2A84"/>
    <w:rsid w:val="003D3487"/>
    <w:rsid w:val="003D4618"/>
    <w:rsid w:val="003D4A24"/>
    <w:rsid w:val="003D5114"/>
    <w:rsid w:val="003E161E"/>
    <w:rsid w:val="003E1F66"/>
    <w:rsid w:val="003E2114"/>
    <w:rsid w:val="003E21CB"/>
    <w:rsid w:val="003E56F6"/>
    <w:rsid w:val="003E7A75"/>
    <w:rsid w:val="003F0688"/>
    <w:rsid w:val="003F196C"/>
    <w:rsid w:val="003F6066"/>
    <w:rsid w:val="00401DDB"/>
    <w:rsid w:val="004024D3"/>
    <w:rsid w:val="00402955"/>
    <w:rsid w:val="004043C4"/>
    <w:rsid w:val="004047DE"/>
    <w:rsid w:val="00404925"/>
    <w:rsid w:val="004054C3"/>
    <w:rsid w:val="0040760B"/>
    <w:rsid w:val="00410A29"/>
    <w:rsid w:val="004122A0"/>
    <w:rsid w:val="00412C19"/>
    <w:rsid w:val="004173E4"/>
    <w:rsid w:val="004177FC"/>
    <w:rsid w:val="0042391C"/>
    <w:rsid w:val="0042502E"/>
    <w:rsid w:val="004261D4"/>
    <w:rsid w:val="00433090"/>
    <w:rsid w:val="004353CB"/>
    <w:rsid w:val="0044029A"/>
    <w:rsid w:val="00440716"/>
    <w:rsid w:val="00445A8A"/>
    <w:rsid w:val="0044604E"/>
    <w:rsid w:val="00447210"/>
    <w:rsid w:val="00454825"/>
    <w:rsid w:val="00456E90"/>
    <w:rsid w:val="004604F3"/>
    <w:rsid w:val="0046572E"/>
    <w:rsid w:val="00467309"/>
    <w:rsid w:val="00467598"/>
    <w:rsid w:val="00470A8B"/>
    <w:rsid w:val="00472744"/>
    <w:rsid w:val="00473131"/>
    <w:rsid w:val="00475DCB"/>
    <w:rsid w:val="004778EB"/>
    <w:rsid w:val="00477CEB"/>
    <w:rsid w:val="0048039B"/>
    <w:rsid w:val="00480F78"/>
    <w:rsid w:val="00482D79"/>
    <w:rsid w:val="004854D1"/>
    <w:rsid w:val="00485672"/>
    <w:rsid w:val="004900DF"/>
    <w:rsid w:val="004933BE"/>
    <w:rsid w:val="004A0E81"/>
    <w:rsid w:val="004A1DB8"/>
    <w:rsid w:val="004A4AC7"/>
    <w:rsid w:val="004A52D3"/>
    <w:rsid w:val="004B03FD"/>
    <w:rsid w:val="004B2204"/>
    <w:rsid w:val="004B2360"/>
    <w:rsid w:val="004B2688"/>
    <w:rsid w:val="004B33EC"/>
    <w:rsid w:val="004B3A9D"/>
    <w:rsid w:val="004B48CD"/>
    <w:rsid w:val="004C4307"/>
    <w:rsid w:val="004C462E"/>
    <w:rsid w:val="004C71AB"/>
    <w:rsid w:val="004D2437"/>
    <w:rsid w:val="004D27BA"/>
    <w:rsid w:val="004D44B2"/>
    <w:rsid w:val="004D5C51"/>
    <w:rsid w:val="004D6E70"/>
    <w:rsid w:val="004E11D0"/>
    <w:rsid w:val="004E39BD"/>
    <w:rsid w:val="004E3B1D"/>
    <w:rsid w:val="004F0F17"/>
    <w:rsid w:val="004F1BB1"/>
    <w:rsid w:val="004F26B8"/>
    <w:rsid w:val="004F4013"/>
    <w:rsid w:val="004F6946"/>
    <w:rsid w:val="005023B0"/>
    <w:rsid w:val="00502D0D"/>
    <w:rsid w:val="00502E0A"/>
    <w:rsid w:val="005032A3"/>
    <w:rsid w:val="00504306"/>
    <w:rsid w:val="00505959"/>
    <w:rsid w:val="005070C8"/>
    <w:rsid w:val="00511059"/>
    <w:rsid w:val="005131EA"/>
    <w:rsid w:val="00524215"/>
    <w:rsid w:val="00526E5A"/>
    <w:rsid w:val="005322AA"/>
    <w:rsid w:val="00541834"/>
    <w:rsid w:val="0054220D"/>
    <w:rsid w:val="005433C5"/>
    <w:rsid w:val="0054378E"/>
    <w:rsid w:val="00545F8A"/>
    <w:rsid w:val="005460D5"/>
    <w:rsid w:val="005463AC"/>
    <w:rsid w:val="00552FAD"/>
    <w:rsid w:val="00556D25"/>
    <w:rsid w:val="00562AB0"/>
    <w:rsid w:val="0056756F"/>
    <w:rsid w:val="00571653"/>
    <w:rsid w:val="00571A61"/>
    <w:rsid w:val="00571C81"/>
    <w:rsid w:val="0057346D"/>
    <w:rsid w:val="005761A6"/>
    <w:rsid w:val="00582C35"/>
    <w:rsid w:val="00585345"/>
    <w:rsid w:val="0059063D"/>
    <w:rsid w:val="00593AD0"/>
    <w:rsid w:val="00593B7A"/>
    <w:rsid w:val="00594492"/>
    <w:rsid w:val="00595161"/>
    <w:rsid w:val="005967A2"/>
    <w:rsid w:val="00597872"/>
    <w:rsid w:val="005A3E20"/>
    <w:rsid w:val="005A73D9"/>
    <w:rsid w:val="005A7DFC"/>
    <w:rsid w:val="005B3722"/>
    <w:rsid w:val="005C108D"/>
    <w:rsid w:val="005C58DE"/>
    <w:rsid w:val="005C6D17"/>
    <w:rsid w:val="005D0C21"/>
    <w:rsid w:val="005D1921"/>
    <w:rsid w:val="005D2D0B"/>
    <w:rsid w:val="005D53EE"/>
    <w:rsid w:val="005D621D"/>
    <w:rsid w:val="005D78FE"/>
    <w:rsid w:val="005E463C"/>
    <w:rsid w:val="005E4E4C"/>
    <w:rsid w:val="005E6290"/>
    <w:rsid w:val="005F24DD"/>
    <w:rsid w:val="005F7BDC"/>
    <w:rsid w:val="0060091E"/>
    <w:rsid w:val="00610DAB"/>
    <w:rsid w:val="0061660C"/>
    <w:rsid w:val="00616DE9"/>
    <w:rsid w:val="0061757F"/>
    <w:rsid w:val="006326AB"/>
    <w:rsid w:val="00633FE2"/>
    <w:rsid w:val="00635972"/>
    <w:rsid w:val="00643649"/>
    <w:rsid w:val="006441ED"/>
    <w:rsid w:val="00645CD2"/>
    <w:rsid w:val="0065085F"/>
    <w:rsid w:val="00654361"/>
    <w:rsid w:val="0065695B"/>
    <w:rsid w:val="00657472"/>
    <w:rsid w:val="00657E48"/>
    <w:rsid w:val="00660A8B"/>
    <w:rsid w:val="006637D6"/>
    <w:rsid w:val="00664ACE"/>
    <w:rsid w:val="006743AD"/>
    <w:rsid w:val="00675750"/>
    <w:rsid w:val="00680B22"/>
    <w:rsid w:val="0068242A"/>
    <w:rsid w:val="00682613"/>
    <w:rsid w:val="00682B57"/>
    <w:rsid w:val="006847A3"/>
    <w:rsid w:val="00690277"/>
    <w:rsid w:val="00690A5C"/>
    <w:rsid w:val="0069219F"/>
    <w:rsid w:val="00695762"/>
    <w:rsid w:val="006A17A6"/>
    <w:rsid w:val="006A30AF"/>
    <w:rsid w:val="006A3291"/>
    <w:rsid w:val="006A5610"/>
    <w:rsid w:val="006A5F96"/>
    <w:rsid w:val="006A7FE2"/>
    <w:rsid w:val="006B1B08"/>
    <w:rsid w:val="006B48FD"/>
    <w:rsid w:val="006B59A1"/>
    <w:rsid w:val="006C481B"/>
    <w:rsid w:val="006D18CA"/>
    <w:rsid w:val="006D3D3E"/>
    <w:rsid w:val="006D4D0B"/>
    <w:rsid w:val="006D5157"/>
    <w:rsid w:val="006D5350"/>
    <w:rsid w:val="006D6890"/>
    <w:rsid w:val="006E1A6B"/>
    <w:rsid w:val="006E4366"/>
    <w:rsid w:val="006E5E38"/>
    <w:rsid w:val="006E618B"/>
    <w:rsid w:val="006F0BC4"/>
    <w:rsid w:val="006F222E"/>
    <w:rsid w:val="006F49F1"/>
    <w:rsid w:val="006F4D61"/>
    <w:rsid w:val="006F4E16"/>
    <w:rsid w:val="00702CB8"/>
    <w:rsid w:val="00706510"/>
    <w:rsid w:val="0070701D"/>
    <w:rsid w:val="00707885"/>
    <w:rsid w:val="0071023A"/>
    <w:rsid w:val="007107A7"/>
    <w:rsid w:val="007119D4"/>
    <w:rsid w:val="00712430"/>
    <w:rsid w:val="007153BD"/>
    <w:rsid w:val="00716E65"/>
    <w:rsid w:val="007172A4"/>
    <w:rsid w:val="007244F6"/>
    <w:rsid w:val="00724928"/>
    <w:rsid w:val="00725832"/>
    <w:rsid w:val="00726D46"/>
    <w:rsid w:val="00732C90"/>
    <w:rsid w:val="007370BC"/>
    <w:rsid w:val="007375D5"/>
    <w:rsid w:val="007423B2"/>
    <w:rsid w:val="007456E2"/>
    <w:rsid w:val="007465FE"/>
    <w:rsid w:val="00747707"/>
    <w:rsid w:val="00761029"/>
    <w:rsid w:val="0076148F"/>
    <w:rsid w:val="007656EC"/>
    <w:rsid w:val="00770B59"/>
    <w:rsid w:val="00771843"/>
    <w:rsid w:val="0077695D"/>
    <w:rsid w:val="0078171A"/>
    <w:rsid w:val="00782183"/>
    <w:rsid w:val="007831EE"/>
    <w:rsid w:val="00783B76"/>
    <w:rsid w:val="00783F35"/>
    <w:rsid w:val="007842F4"/>
    <w:rsid w:val="00787861"/>
    <w:rsid w:val="00791D68"/>
    <w:rsid w:val="0079272B"/>
    <w:rsid w:val="007949EF"/>
    <w:rsid w:val="0079633F"/>
    <w:rsid w:val="0079657F"/>
    <w:rsid w:val="00796C3C"/>
    <w:rsid w:val="00797BEC"/>
    <w:rsid w:val="007A48EF"/>
    <w:rsid w:val="007A4E31"/>
    <w:rsid w:val="007A508C"/>
    <w:rsid w:val="007A5C06"/>
    <w:rsid w:val="007A5D52"/>
    <w:rsid w:val="007A5E35"/>
    <w:rsid w:val="007B19A0"/>
    <w:rsid w:val="007B59B6"/>
    <w:rsid w:val="007B7ADB"/>
    <w:rsid w:val="007C1610"/>
    <w:rsid w:val="007C52E9"/>
    <w:rsid w:val="007E2555"/>
    <w:rsid w:val="007E3756"/>
    <w:rsid w:val="007F16DF"/>
    <w:rsid w:val="007F2A06"/>
    <w:rsid w:val="007F3142"/>
    <w:rsid w:val="008044DD"/>
    <w:rsid w:val="00804BA1"/>
    <w:rsid w:val="00805E5D"/>
    <w:rsid w:val="00811469"/>
    <w:rsid w:val="00812490"/>
    <w:rsid w:val="00812ECD"/>
    <w:rsid w:val="008132AD"/>
    <w:rsid w:val="008169C6"/>
    <w:rsid w:val="00823513"/>
    <w:rsid w:val="0082390C"/>
    <w:rsid w:val="00823FCF"/>
    <w:rsid w:val="00827112"/>
    <w:rsid w:val="00827496"/>
    <w:rsid w:val="008321A8"/>
    <w:rsid w:val="00835D9A"/>
    <w:rsid w:val="00835EF3"/>
    <w:rsid w:val="008419E4"/>
    <w:rsid w:val="00844319"/>
    <w:rsid w:val="008454F5"/>
    <w:rsid w:val="00846CF1"/>
    <w:rsid w:val="00847741"/>
    <w:rsid w:val="00855241"/>
    <w:rsid w:val="008555CF"/>
    <w:rsid w:val="00856EFD"/>
    <w:rsid w:val="00857F3C"/>
    <w:rsid w:val="0086079D"/>
    <w:rsid w:val="00871839"/>
    <w:rsid w:val="00875551"/>
    <w:rsid w:val="00876AC8"/>
    <w:rsid w:val="008829C7"/>
    <w:rsid w:val="00882F9C"/>
    <w:rsid w:val="00885028"/>
    <w:rsid w:val="00886C11"/>
    <w:rsid w:val="008877C0"/>
    <w:rsid w:val="00891455"/>
    <w:rsid w:val="0089569C"/>
    <w:rsid w:val="00895E5B"/>
    <w:rsid w:val="00896802"/>
    <w:rsid w:val="008A3B96"/>
    <w:rsid w:val="008A63DF"/>
    <w:rsid w:val="008A68FF"/>
    <w:rsid w:val="008B1002"/>
    <w:rsid w:val="008B2C0A"/>
    <w:rsid w:val="008B582B"/>
    <w:rsid w:val="008B5BDF"/>
    <w:rsid w:val="008C1A06"/>
    <w:rsid w:val="008C37DF"/>
    <w:rsid w:val="008C5656"/>
    <w:rsid w:val="008C7A02"/>
    <w:rsid w:val="008C7EA6"/>
    <w:rsid w:val="008D0268"/>
    <w:rsid w:val="008D1558"/>
    <w:rsid w:val="008D2417"/>
    <w:rsid w:val="008D3E90"/>
    <w:rsid w:val="008D4CB6"/>
    <w:rsid w:val="008E033C"/>
    <w:rsid w:val="008E146A"/>
    <w:rsid w:val="008E24D2"/>
    <w:rsid w:val="008E385E"/>
    <w:rsid w:val="008E4D86"/>
    <w:rsid w:val="008E6B67"/>
    <w:rsid w:val="008F3EE5"/>
    <w:rsid w:val="008F6322"/>
    <w:rsid w:val="008F7203"/>
    <w:rsid w:val="00900577"/>
    <w:rsid w:val="00905001"/>
    <w:rsid w:val="00906A2B"/>
    <w:rsid w:val="009116A2"/>
    <w:rsid w:val="00911A6A"/>
    <w:rsid w:val="0091343C"/>
    <w:rsid w:val="00913874"/>
    <w:rsid w:val="00921D38"/>
    <w:rsid w:val="0092562C"/>
    <w:rsid w:val="00927D4F"/>
    <w:rsid w:val="00931A61"/>
    <w:rsid w:val="0093778A"/>
    <w:rsid w:val="0094059F"/>
    <w:rsid w:val="00943F1C"/>
    <w:rsid w:val="00946375"/>
    <w:rsid w:val="00951B33"/>
    <w:rsid w:val="00952C12"/>
    <w:rsid w:val="009540EB"/>
    <w:rsid w:val="009607D7"/>
    <w:rsid w:val="00971C9B"/>
    <w:rsid w:val="009727D3"/>
    <w:rsid w:val="009729A4"/>
    <w:rsid w:val="00973416"/>
    <w:rsid w:val="009739D5"/>
    <w:rsid w:val="00974016"/>
    <w:rsid w:val="00974649"/>
    <w:rsid w:val="00977AED"/>
    <w:rsid w:val="00981909"/>
    <w:rsid w:val="00983AB6"/>
    <w:rsid w:val="0099613A"/>
    <w:rsid w:val="00997518"/>
    <w:rsid w:val="009A379F"/>
    <w:rsid w:val="009A768F"/>
    <w:rsid w:val="009A7921"/>
    <w:rsid w:val="009B2BE6"/>
    <w:rsid w:val="009B4050"/>
    <w:rsid w:val="009B592C"/>
    <w:rsid w:val="009C0409"/>
    <w:rsid w:val="009C12E9"/>
    <w:rsid w:val="009D1667"/>
    <w:rsid w:val="009D1D06"/>
    <w:rsid w:val="009D22EC"/>
    <w:rsid w:val="009D2E8A"/>
    <w:rsid w:val="009D3B18"/>
    <w:rsid w:val="009D3F39"/>
    <w:rsid w:val="009D457D"/>
    <w:rsid w:val="009D681C"/>
    <w:rsid w:val="009E0BD5"/>
    <w:rsid w:val="009E1C7F"/>
    <w:rsid w:val="009E27FF"/>
    <w:rsid w:val="009E361D"/>
    <w:rsid w:val="009E51E3"/>
    <w:rsid w:val="009E5720"/>
    <w:rsid w:val="009E62EA"/>
    <w:rsid w:val="009E70A1"/>
    <w:rsid w:val="009F21F0"/>
    <w:rsid w:val="009F2583"/>
    <w:rsid w:val="009F3D83"/>
    <w:rsid w:val="009F7417"/>
    <w:rsid w:val="009F77A8"/>
    <w:rsid w:val="00A02FD6"/>
    <w:rsid w:val="00A034CC"/>
    <w:rsid w:val="00A0472D"/>
    <w:rsid w:val="00A07A16"/>
    <w:rsid w:val="00A12916"/>
    <w:rsid w:val="00A13E7F"/>
    <w:rsid w:val="00A14BAC"/>
    <w:rsid w:val="00A15B61"/>
    <w:rsid w:val="00A16062"/>
    <w:rsid w:val="00A2166F"/>
    <w:rsid w:val="00A24B55"/>
    <w:rsid w:val="00A265BE"/>
    <w:rsid w:val="00A304AA"/>
    <w:rsid w:val="00A31617"/>
    <w:rsid w:val="00A33083"/>
    <w:rsid w:val="00A37956"/>
    <w:rsid w:val="00A413E0"/>
    <w:rsid w:val="00A433AA"/>
    <w:rsid w:val="00A447B6"/>
    <w:rsid w:val="00A457AA"/>
    <w:rsid w:val="00A46196"/>
    <w:rsid w:val="00A47168"/>
    <w:rsid w:val="00A55855"/>
    <w:rsid w:val="00A61620"/>
    <w:rsid w:val="00A62876"/>
    <w:rsid w:val="00A7369A"/>
    <w:rsid w:val="00A73F5F"/>
    <w:rsid w:val="00A76236"/>
    <w:rsid w:val="00A76F72"/>
    <w:rsid w:val="00A918E7"/>
    <w:rsid w:val="00A91FBB"/>
    <w:rsid w:val="00A9486C"/>
    <w:rsid w:val="00A967C7"/>
    <w:rsid w:val="00A9708D"/>
    <w:rsid w:val="00AA2C67"/>
    <w:rsid w:val="00AA4952"/>
    <w:rsid w:val="00AA5486"/>
    <w:rsid w:val="00AB0F46"/>
    <w:rsid w:val="00AB16F9"/>
    <w:rsid w:val="00AB23D7"/>
    <w:rsid w:val="00AB243A"/>
    <w:rsid w:val="00AB5BB9"/>
    <w:rsid w:val="00AB6431"/>
    <w:rsid w:val="00AC3144"/>
    <w:rsid w:val="00AC52D7"/>
    <w:rsid w:val="00AC7369"/>
    <w:rsid w:val="00AD1095"/>
    <w:rsid w:val="00AD5E29"/>
    <w:rsid w:val="00AD6766"/>
    <w:rsid w:val="00AE2C39"/>
    <w:rsid w:val="00AE7F5D"/>
    <w:rsid w:val="00AF0B72"/>
    <w:rsid w:val="00AF1C0F"/>
    <w:rsid w:val="00AF35C2"/>
    <w:rsid w:val="00AF42C2"/>
    <w:rsid w:val="00AF42DC"/>
    <w:rsid w:val="00AF47EF"/>
    <w:rsid w:val="00AF61D7"/>
    <w:rsid w:val="00AF6A34"/>
    <w:rsid w:val="00AF7AB8"/>
    <w:rsid w:val="00B04642"/>
    <w:rsid w:val="00B06874"/>
    <w:rsid w:val="00B07EAE"/>
    <w:rsid w:val="00B1075F"/>
    <w:rsid w:val="00B111E1"/>
    <w:rsid w:val="00B135A2"/>
    <w:rsid w:val="00B13697"/>
    <w:rsid w:val="00B22C91"/>
    <w:rsid w:val="00B2763C"/>
    <w:rsid w:val="00B278BA"/>
    <w:rsid w:val="00B27F58"/>
    <w:rsid w:val="00B31866"/>
    <w:rsid w:val="00B3257D"/>
    <w:rsid w:val="00B328F8"/>
    <w:rsid w:val="00B43B1B"/>
    <w:rsid w:val="00B45029"/>
    <w:rsid w:val="00B472A4"/>
    <w:rsid w:val="00B47314"/>
    <w:rsid w:val="00B47EEE"/>
    <w:rsid w:val="00B51A9A"/>
    <w:rsid w:val="00B54542"/>
    <w:rsid w:val="00B55DC5"/>
    <w:rsid w:val="00B57F87"/>
    <w:rsid w:val="00B57FCF"/>
    <w:rsid w:val="00B601F1"/>
    <w:rsid w:val="00B6026B"/>
    <w:rsid w:val="00B60BC3"/>
    <w:rsid w:val="00B61D5A"/>
    <w:rsid w:val="00B7058E"/>
    <w:rsid w:val="00B728C8"/>
    <w:rsid w:val="00B75224"/>
    <w:rsid w:val="00B757EC"/>
    <w:rsid w:val="00B77BD4"/>
    <w:rsid w:val="00B82E7B"/>
    <w:rsid w:val="00B85450"/>
    <w:rsid w:val="00B85AA5"/>
    <w:rsid w:val="00B8613C"/>
    <w:rsid w:val="00B872B1"/>
    <w:rsid w:val="00B92990"/>
    <w:rsid w:val="00B9562C"/>
    <w:rsid w:val="00B969F0"/>
    <w:rsid w:val="00BA0117"/>
    <w:rsid w:val="00BA05C6"/>
    <w:rsid w:val="00BA1233"/>
    <w:rsid w:val="00BA161A"/>
    <w:rsid w:val="00BA5459"/>
    <w:rsid w:val="00BA5775"/>
    <w:rsid w:val="00BA5AB5"/>
    <w:rsid w:val="00BA651D"/>
    <w:rsid w:val="00BB0721"/>
    <w:rsid w:val="00BB4F29"/>
    <w:rsid w:val="00BB611A"/>
    <w:rsid w:val="00BB6D17"/>
    <w:rsid w:val="00BB7245"/>
    <w:rsid w:val="00BB7570"/>
    <w:rsid w:val="00BC0D80"/>
    <w:rsid w:val="00BC0E15"/>
    <w:rsid w:val="00BC1396"/>
    <w:rsid w:val="00BC2C94"/>
    <w:rsid w:val="00BC42C7"/>
    <w:rsid w:val="00BC49D2"/>
    <w:rsid w:val="00BC5E43"/>
    <w:rsid w:val="00BC65E1"/>
    <w:rsid w:val="00BC6DBF"/>
    <w:rsid w:val="00BC75EE"/>
    <w:rsid w:val="00BC7B26"/>
    <w:rsid w:val="00BD051A"/>
    <w:rsid w:val="00BE0557"/>
    <w:rsid w:val="00BE188E"/>
    <w:rsid w:val="00BE223D"/>
    <w:rsid w:val="00BE4274"/>
    <w:rsid w:val="00BE6599"/>
    <w:rsid w:val="00BF378B"/>
    <w:rsid w:val="00BF3C62"/>
    <w:rsid w:val="00BF56C7"/>
    <w:rsid w:val="00C00C96"/>
    <w:rsid w:val="00C019EF"/>
    <w:rsid w:val="00C033E5"/>
    <w:rsid w:val="00C04A1F"/>
    <w:rsid w:val="00C04A31"/>
    <w:rsid w:val="00C0554A"/>
    <w:rsid w:val="00C11D58"/>
    <w:rsid w:val="00C13A33"/>
    <w:rsid w:val="00C1408A"/>
    <w:rsid w:val="00C160A4"/>
    <w:rsid w:val="00C25CB5"/>
    <w:rsid w:val="00C26F3B"/>
    <w:rsid w:val="00C30BF8"/>
    <w:rsid w:val="00C32582"/>
    <w:rsid w:val="00C33A99"/>
    <w:rsid w:val="00C34A6E"/>
    <w:rsid w:val="00C34E3A"/>
    <w:rsid w:val="00C421CA"/>
    <w:rsid w:val="00C42390"/>
    <w:rsid w:val="00C46385"/>
    <w:rsid w:val="00C47FB2"/>
    <w:rsid w:val="00C5084D"/>
    <w:rsid w:val="00C508D6"/>
    <w:rsid w:val="00C51A75"/>
    <w:rsid w:val="00C520E9"/>
    <w:rsid w:val="00C5255D"/>
    <w:rsid w:val="00C603EB"/>
    <w:rsid w:val="00C664BB"/>
    <w:rsid w:val="00C675CC"/>
    <w:rsid w:val="00C7069F"/>
    <w:rsid w:val="00C71718"/>
    <w:rsid w:val="00C7538F"/>
    <w:rsid w:val="00C76A20"/>
    <w:rsid w:val="00C77C7E"/>
    <w:rsid w:val="00C77D2A"/>
    <w:rsid w:val="00C809FF"/>
    <w:rsid w:val="00C86C99"/>
    <w:rsid w:val="00C9580A"/>
    <w:rsid w:val="00C9704F"/>
    <w:rsid w:val="00CA207A"/>
    <w:rsid w:val="00CA3C33"/>
    <w:rsid w:val="00CA4369"/>
    <w:rsid w:val="00CA6583"/>
    <w:rsid w:val="00CB28C9"/>
    <w:rsid w:val="00CB672B"/>
    <w:rsid w:val="00CB7211"/>
    <w:rsid w:val="00CC1A98"/>
    <w:rsid w:val="00CC6723"/>
    <w:rsid w:val="00CC7EC5"/>
    <w:rsid w:val="00CD45BE"/>
    <w:rsid w:val="00CD642B"/>
    <w:rsid w:val="00CD6A77"/>
    <w:rsid w:val="00CD6FEB"/>
    <w:rsid w:val="00CE4087"/>
    <w:rsid w:val="00CE61D3"/>
    <w:rsid w:val="00CE67DD"/>
    <w:rsid w:val="00CF4683"/>
    <w:rsid w:val="00CF5258"/>
    <w:rsid w:val="00CF7148"/>
    <w:rsid w:val="00D007DE"/>
    <w:rsid w:val="00D01EF1"/>
    <w:rsid w:val="00D0245E"/>
    <w:rsid w:val="00D0259D"/>
    <w:rsid w:val="00D03DB3"/>
    <w:rsid w:val="00D047DC"/>
    <w:rsid w:val="00D04DA5"/>
    <w:rsid w:val="00D05AFF"/>
    <w:rsid w:val="00D06C03"/>
    <w:rsid w:val="00D10A4C"/>
    <w:rsid w:val="00D11BBC"/>
    <w:rsid w:val="00D13EF1"/>
    <w:rsid w:val="00D14018"/>
    <w:rsid w:val="00D144A8"/>
    <w:rsid w:val="00D15D08"/>
    <w:rsid w:val="00D205A6"/>
    <w:rsid w:val="00D20700"/>
    <w:rsid w:val="00D20C8C"/>
    <w:rsid w:val="00D21D29"/>
    <w:rsid w:val="00D26713"/>
    <w:rsid w:val="00D318F2"/>
    <w:rsid w:val="00D32EA8"/>
    <w:rsid w:val="00D401D5"/>
    <w:rsid w:val="00D403B4"/>
    <w:rsid w:val="00D41605"/>
    <w:rsid w:val="00D42ABD"/>
    <w:rsid w:val="00D42E31"/>
    <w:rsid w:val="00D42EB6"/>
    <w:rsid w:val="00D44FB6"/>
    <w:rsid w:val="00D47BAC"/>
    <w:rsid w:val="00D510B6"/>
    <w:rsid w:val="00D510DD"/>
    <w:rsid w:val="00D515B8"/>
    <w:rsid w:val="00D51F83"/>
    <w:rsid w:val="00D52B90"/>
    <w:rsid w:val="00D52DB1"/>
    <w:rsid w:val="00D54869"/>
    <w:rsid w:val="00D603F1"/>
    <w:rsid w:val="00D67AFE"/>
    <w:rsid w:val="00D72C5E"/>
    <w:rsid w:val="00D74BD3"/>
    <w:rsid w:val="00D77200"/>
    <w:rsid w:val="00D81724"/>
    <w:rsid w:val="00D8210F"/>
    <w:rsid w:val="00D83C64"/>
    <w:rsid w:val="00DA1668"/>
    <w:rsid w:val="00DA20D3"/>
    <w:rsid w:val="00DA3493"/>
    <w:rsid w:val="00DA3852"/>
    <w:rsid w:val="00DA49C4"/>
    <w:rsid w:val="00DA63BF"/>
    <w:rsid w:val="00DA6F83"/>
    <w:rsid w:val="00DB42BD"/>
    <w:rsid w:val="00DB605C"/>
    <w:rsid w:val="00DC0823"/>
    <w:rsid w:val="00DC21BC"/>
    <w:rsid w:val="00DC2E52"/>
    <w:rsid w:val="00DC3E4C"/>
    <w:rsid w:val="00DC4E40"/>
    <w:rsid w:val="00DC55C7"/>
    <w:rsid w:val="00DC609C"/>
    <w:rsid w:val="00DC60A4"/>
    <w:rsid w:val="00DC6422"/>
    <w:rsid w:val="00DD0539"/>
    <w:rsid w:val="00DD5DDA"/>
    <w:rsid w:val="00DE0D99"/>
    <w:rsid w:val="00DE4D8F"/>
    <w:rsid w:val="00DE584B"/>
    <w:rsid w:val="00DF22D8"/>
    <w:rsid w:val="00DF76E3"/>
    <w:rsid w:val="00E02024"/>
    <w:rsid w:val="00E03013"/>
    <w:rsid w:val="00E03104"/>
    <w:rsid w:val="00E03ABA"/>
    <w:rsid w:val="00E04634"/>
    <w:rsid w:val="00E04EC2"/>
    <w:rsid w:val="00E10213"/>
    <w:rsid w:val="00E108F5"/>
    <w:rsid w:val="00E11808"/>
    <w:rsid w:val="00E21E7C"/>
    <w:rsid w:val="00E27072"/>
    <w:rsid w:val="00E32184"/>
    <w:rsid w:val="00E32185"/>
    <w:rsid w:val="00E3239B"/>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701B2"/>
    <w:rsid w:val="00E709E6"/>
    <w:rsid w:val="00E71207"/>
    <w:rsid w:val="00E71AAB"/>
    <w:rsid w:val="00E727A7"/>
    <w:rsid w:val="00E7311B"/>
    <w:rsid w:val="00E73444"/>
    <w:rsid w:val="00E742A9"/>
    <w:rsid w:val="00E746F4"/>
    <w:rsid w:val="00E77F26"/>
    <w:rsid w:val="00E80781"/>
    <w:rsid w:val="00E855FF"/>
    <w:rsid w:val="00E935BE"/>
    <w:rsid w:val="00E93CA8"/>
    <w:rsid w:val="00E97A65"/>
    <w:rsid w:val="00EA0FFC"/>
    <w:rsid w:val="00EA337F"/>
    <w:rsid w:val="00EA5A90"/>
    <w:rsid w:val="00EB092A"/>
    <w:rsid w:val="00EB19B2"/>
    <w:rsid w:val="00EB1FF2"/>
    <w:rsid w:val="00EB2CB2"/>
    <w:rsid w:val="00EB474E"/>
    <w:rsid w:val="00EB5570"/>
    <w:rsid w:val="00EB6387"/>
    <w:rsid w:val="00EB7D50"/>
    <w:rsid w:val="00EC4562"/>
    <w:rsid w:val="00EC6878"/>
    <w:rsid w:val="00ED077F"/>
    <w:rsid w:val="00ED236B"/>
    <w:rsid w:val="00ED58B7"/>
    <w:rsid w:val="00ED5923"/>
    <w:rsid w:val="00EE082D"/>
    <w:rsid w:val="00EE2B02"/>
    <w:rsid w:val="00EE31B3"/>
    <w:rsid w:val="00EE4F27"/>
    <w:rsid w:val="00EF11A3"/>
    <w:rsid w:val="00EF38A4"/>
    <w:rsid w:val="00EF6DEE"/>
    <w:rsid w:val="00F023B8"/>
    <w:rsid w:val="00F10068"/>
    <w:rsid w:val="00F11DC3"/>
    <w:rsid w:val="00F158C5"/>
    <w:rsid w:val="00F20E21"/>
    <w:rsid w:val="00F212C3"/>
    <w:rsid w:val="00F252AD"/>
    <w:rsid w:val="00F26299"/>
    <w:rsid w:val="00F320EF"/>
    <w:rsid w:val="00F3218A"/>
    <w:rsid w:val="00F34787"/>
    <w:rsid w:val="00F358CB"/>
    <w:rsid w:val="00F405D2"/>
    <w:rsid w:val="00F46D18"/>
    <w:rsid w:val="00F47743"/>
    <w:rsid w:val="00F47EE6"/>
    <w:rsid w:val="00F519FB"/>
    <w:rsid w:val="00F54E2D"/>
    <w:rsid w:val="00F57119"/>
    <w:rsid w:val="00F60CB5"/>
    <w:rsid w:val="00F625D8"/>
    <w:rsid w:val="00F70635"/>
    <w:rsid w:val="00F738B9"/>
    <w:rsid w:val="00F74241"/>
    <w:rsid w:val="00F77867"/>
    <w:rsid w:val="00F77A11"/>
    <w:rsid w:val="00F77AD1"/>
    <w:rsid w:val="00F804D1"/>
    <w:rsid w:val="00F8766A"/>
    <w:rsid w:val="00F92391"/>
    <w:rsid w:val="00FA0267"/>
    <w:rsid w:val="00FA1FBB"/>
    <w:rsid w:val="00FA6CFF"/>
    <w:rsid w:val="00FB3AD9"/>
    <w:rsid w:val="00FB5655"/>
    <w:rsid w:val="00FC08B7"/>
    <w:rsid w:val="00FC2270"/>
    <w:rsid w:val="00FC5035"/>
    <w:rsid w:val="00FC6A8F"/>
    <w:rsid w:val="00FD1115"/>
    <w:rsid w:val="00FD413B"/>
    <w:rsid w:val="00FD4E3A"/>
    <w:rsid w:val="00FD54FE"/>
    <w:rsid w:val="00FD6260"/>
    <w:rsid w:val="00FD70D0"/>
    <w:rsid w:val="00FE7D95"/>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573317969">
      <w:bodyDiv w:val="1"/>
      <w:marLeft w:val="0"/>
      <w:marRight w:val="0"/>
      <w:marTop w:val="0"/>
      <w:marBottom w:val="0"/>
      <w:divBdr>
        <w:top w:val="none" w:sz="0" w:space="0" w:color="auto"/>
        <w:left w:val="none" w:sz="0" w:space="0" w:color="auto"/>
        <w:bottom w:val="none" w:sz="0" w:space="0" w:color="auto"/>
        <w:right w:val="none" w:sz="0" w:space="0" w:color="auto"/>
      </w:divBdr>
    </w:div>
    <w:div w:id="625815108">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21232595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34"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hyperlink" Target="http://epp.eurostat.ec.europa.eu/portal/page/portal/eurostat/home"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yperlink" Target="http://www.espon.eu/main/Menu_Projects/"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4.xml><?xml version="1.0" encoding="utf-8"?>
<ds:datastoreItem xmlns:ds="http://schemas.openxmlformats.org/officeDocument/2006/customXml" ds:itemID="{D6E31C1C-B3D3-4DFD-AF9E-10CE3EEA7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3034</Words>
  <Characters>17294</Characters>
  <Application>Microsoft Office Word</Application>
  <DocSecurity>0</DocSecurity>
  <Lines>144</Lines>
  <Paragraphs>40</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20288</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14</cp:revision>
  <cp:lastPrinted>2012-10-25T08:18:00Z</cp:lastPrinted>
  <dcterms:created xsi:type="dcterms:W3CDTF">2012-11-20T11:22:00Z</dcterms:created>
  <dcterms:modified xsi:type="dcterms:W3CDTF">2012-11-27T13:26:00Z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