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F75D66" w:rsidRDefault="00776ECE" w:rsidP="00F75D66">
      <w:pPr>
        <w:spacing w:line="240" w:lineRule="auto"/>
        <w:ind w:left="-851"/>
        <w:jc w:val="center"/>
        <w:rPr>
          <w:rFonts w:ascii="Arial" w:hAnsi="Arial" w:cs="Arial"/>
          <w:sz w:val="40"/>
          <w:szCs w:val="40"/>
          <w:lang w:val="en-US"/>
        </w:rPr>
      </w:pPr>
      <w:r w:rsidRPr="00F75D66">
        <w:rPr>
          <w:rFonts w:ascii="Arial" w:hAnsi="Arial" w:cs="Arial"/>
          <w:sz w:val="40"/>
          <w:szCs w:val="40"/>
          <w:lang w:val="en-US"/>
        </w:rPr>
        <w:t>Slovenia</w:t>
      </w:r>
      <w:r w:rsidR="005467D3">
        <w:rPr>
          <w:rFonts w:ascii="Arial" w:hAnsi="Arial" w:cs="Arial"/>
          <w:sz w:val="40"/>
          <w:szCs w:val="40"/>
          <w:lang w:val="en-US"/>
        </w:rPr>
        <w:t xml:space="preserve"> – </w:t>
      </w:r>
      <w:r w:rsidR="005467D3" w:rsidRPr="00F75D66">
        <w:rPr>
          <w:rFonts w:ascii="Arial" w:hAnsi="Arial" w:cs="Arial"/>
          <w:sz w:val="40"/>
          <w:szCs w:val="40"/>
          <w:lang w:val="en-US"/>
        </w:rPr>
        <w:t>Hungary</w:t>
      </w:r>
    </w:p>
    <w:p w:rsidR="00E613A3" w:rsidRDefault="00776ECE"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3992318"/>
            <wp:effectExtent l="19050" t="0" r="3810" b="0"/>
            <wp:docPr id="2" name="Bild 1" descr="P:\LU_2011_ESPON_TerrEvi_100269\03_Project development\Dani\Cover Maps\Slovenia - Hungary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lovenia - Hungary CBC Programme.jpg"/>
                    <pic:cNvPicPr>
                      <a:picLocks noChangeAspect="1" noChangeArrowheads="1"/>
                    </pic:cNvPicPr>
                  </pic:nvPicPr>
                  <pic:blipFill>
                    <a:blip r:embed="rId11" cstate="print"/>
                    <a:srcRect/>
                    <a:stretch>
                      <a:fillRect/>
                    </a:stretch>
                  </pic:blipFill>
                  <pic:spPr bwMode="auto">
                    <a:xfrm>
                      <a:off x="0" y="0"/>
                      <a:ext cx="5939790" cy="3992318"/>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F75D66" w:rsidRDefault="00F75D66" w:rsidP="00F75D66">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F75D66" w:rsidRDefault="00F75D66" w:rsidP="00F75D66">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FC0AB7" w:rsidRPr="0085195F" w:rsidRDefault="000A647A" w:rsidP="00FC0AB7">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FC0AB7" w:rsidRPr="0085195F">
        <w:t>This is intended as an electronic publication so map quality is generally high to allow users to zoom into specific territories.</w:t>
      </w:r>
    </w:p>
    <w:p w:rsidR="000A647A" w:rsidRDefault="00FC0AB7" w:rsidP="00FC0AB7">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1371F4" w:rsidRDefault="001371F4" w:rsidP="001371F4">
      <w:r>
        <w:t>In the following the traffic light for each indicator represents how your programme territory compares to wider European and national medians where green = your programme area performs better for that indicator, yellow = similar, and red = wors</w:t>
      </w:r>
      <w:r w:rsidR="00FC0AB7">
        <w:t>e.</w:t>
      </w:r>
    </w:p>
    <w:p w:rsidR="002E5FFF" w:rsidRDefault="002E5FFF" w:rsidP="002E5FFF">
      <w:r>
        <w:t>In creating the traffic</w:t>
      </w:r>
      <w:r w:rsidR="001371F4">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3355E" w:rsidRPr="00973E76" w:rsidRDefault="0053355E" w:rsidP="0053355E">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BE34AD">
        <w:t>Smart growth</w:t>
      </w:r>
      <w:r w:rsidRPr="00337872">
        <w:t xml:space="preserve"> </w:t>
      </w:r>
    </w:p>
    <w:p w:rsidR="00337872" w:rsidRDefault="00101B63" w:rsidP="00C33A99">
      <w:r>
        <w:rPr>
          <w:noProof/>
          <w:lang w:val="en-US"/>
        </w:rPr>
        <w:drawing>
          <wp:anchor distT="0" distB="0" distL="114300" distR="114300" simplePos="0" relativeHeight="251687424" behindDoc="1" locked="0" layoutInCell="1" allowOverlap="1">
            <wp:simplePos x="0" y="0"/>
            <wp:positionH relativeFrom="column">
              <wp:posOffset>4445</wp:posOffset>
            </wp:positionH>
            <wp:positionV relativeFrom="paragraph">
              <wp:posOffset>527685</wp:posOffset>
            </wp:positionV>
            <wp:extent cx="5273675" cy="2721610"/>
            <wp:effectExtent l="19050" t="0" r="3175" b="0"/>
            <wp:wrapTight wrapText="bothSides">
              <wp:wrapPolygon edited="0">
                <wp:start x="-78" y="0"/>
                <wp:lineTo x="-78" y="20562"/>
                <wp:lineTo x="21613" y="20562"/>
                <wp:lineTo x="21613" y="0"/>
                <wp:lineTo x="-78" y="0"/>
              </wp:wrapPolygon>
            </wp:wrapTight>
            <wp:docPr id="5" name="Bild 1" descr="C:\Dokumente und Einstellungen\pucher\Desktop\TL_CBC1\CBC_TL_Slovenia_Hungary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lovenia_Hungary1a.png"/>
                    <pic:cNvPicPr>
                      <a:picLocks noChangeAspect="1" noChangeArrowheads="1"/>
                    </pic:cNvPicPr>
                  </pic:nvPicPr>
                  <pic:blipFill>
                    <a:blip r:embed="rId15" cstate="print"/>
                    <a:srcRect/>
                    <a:stretch>
                      <a:fillRect/>
                    </a:stretch>
                  </pic:blipFill>
                  <pic:spPr bwMode="auto">
                    <a:xfrm>
                      <a:off x="0" y="0"/>
                      <a:ext cx="5273675" cy="2721610"/>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101B63" w:rsidRDefault="00101B63" w:rsidP="00C33A99"/>
    <w:p w:rsidR="00BE34AD" w:rsidRDefault="00BE34AD" w:rsidP="00BE34AD">
      <w:pPr>
        <w:spacing w:before="120"/>
      </w:pPr>
      <w:r w:rsidRPr="00B92990">
        <w:t xml:space="preserve">According to all indicators reported above, the </w:t>
      </w:r>
      <w:r w:rsidR="00352111">
        <w:t xml:space="preserve">Slovenia – Hungary </w:t>
      </w:r>
      <w:r>
        <w:t>CBC</w:t>
      </w:r>
      <w:r w:rsidRPr="00B92990">
        <w:t xml:space="preserve"> </w:t>
      </w:r>
      <w:r>
        <w:t xml:space="preserve">does not </w:t>
      </w:r>
      <w:r w:rsidRPr="00487B66">
        <w:t xml:space="preserve">perform at a higher level than the EU27+4 space and all CBC ones. </w:t>
      </w:r>
    </w:p>
    <w:p w:rsidR="00BE34AD" w:rsidRPr="00B92990" w:rsidRDefault="00BE34AD" w:rsidP="00BE34AD">
      <w:pPr>
        <w:spacing w:before="120"/>
      </w:pPr>
      <w:r w:rsidRPr="00487B66">
        <w:t>Considering the o</w:t>
      </w:r>
      <w:r>
        <w:t xml:space="preserve">bjective of R&amp;D expenditure as </w:t>
      </w:r>
      <w:r w:rsidRPr="00487B66">
        <w:t xml:space="preserve">percentage of the GDP - one of the five headline targets in the Europe 2020 Strategy - the CBC area is still </w:t>
      </w:r>
      <w:r w:rsidRPr="00487B66">
        <w:lastRenderedPageBreak/>
        <w:t xml:space="preserve">lagging behind the EU27+4 space, but performs in a similar way to all CBC areas. </w:t>
      </w:r>
      <w:r>
        <w:t>However, the CBC is characteris</w:t>
      </w:r>
      <w:r w:rsidRPr="00487B66">
        <w:t>ed by a h</w:t>
      </w:r>
      <w:r>
        <w:t xml:space="preserve">igh level of internal disparity. It performs </w:t>
      </w:r>
      <w:r w:rsidRPr="00487B66">
        <w:t>better than Hungary</w:t>
      </w:r>
      <w:r>
        <w:t xml:space="preserve"> but</w:t>
      </w:r>
      <w:r w:rsidRPr="00487B66">
        <w:t xml:space="preserve"> worse than Slovenia.</w:t>
      </w:r>
    </w:p>
    <w:p w:rsidR="00BE34AD" w:rsidRPr="00B92990" w:rsidRDefault="00BE34AD" w:rsidP="00BE34AD">
      <w:r w:rsidRPr="00B92990">
        <w:t>Concerning the ratio of employment in knowledge-intensive service</w:t>
      </w:r>
      <w:r>
        <w:t>s</w:t>
      </w:r>
      <w:r w:rsidRPr="00B92990">
        <w:t xml:space="preserve"> to the total </w:t>
      </w:r>
      <w:r w:rsidRPr="00D6123A">
        <w:t>employment in 2010, the CBC area has lower values than EU27+4 space, all CBC areas, Slovenia and Hungary. The distribution inside the CBC results in a low level of internal disparity.</w:t>
      </w:r>
      <w:r w:rsidRPr="00B92990">
        <w:t xml:space="preserve"> </w:t>
      </w:r>
    </w:p>
    <w:p w:rsidR="00BE34AD" w:rsidRPr="00B92990" w:rsidRDefault="00BE34AD" w:rsidP="00BE34AD">
      <w:r w:rsidRPr="00B92990">
        <w:t xml:space="preserve">In terms of percentage of individuals regularly using internet in 2011, the </w:t>
      </w:r>
      <w:r w:rsidRPr="00D6123A">
        <w:t>CBC has the same values as EU27+4 space and all CBCs</w:t>
      </w:r>
      <w:r>
        <w:t>. It</w:t>
      </w:r>
      <w:r w:rsidRPr="00D6123A">
        <w:t xml:space="preserve"> performs slightly better than Slovenia and Hungary, with a low</w:t>
      </w:r>
      <w:r>
        <w:t xml:space="preserve"> level of</w:t>
      </w:r>
      <w:r w:rsidRPr="00D6123A">
        <w:t xml:space="preserve"> internal disparity.</w:t>
      </w:r>
    </w:p>
    <w:p w:rsidR="00BE34AD" w:rsidRPr="00B92990" w:rsidRDefault="00BE34AD" w:rsidP="00BE34AD">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BE34AD" w:rsidRPr="001A612A" w:rsidRDefault="00BE34AD" w:rsidP="00BE34AD">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Slovenian</w:t>
      </w:r>
      <w:r w:rsidRPr="001A612A">
        <w:rPr>
          <w:rFonts w:cstheme="minorHAnsi"/>
          <w:szCs w:val="20"/>
        </w:rPr>
        <w:t xml:space="preserve"> 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2E5FFF" w:rsidRDefault="00BE34AD" w:rsidP="00BE34AD">
      <w:pPr>
        <w:pStyle w:val="ListParagraph"/>
        <w:numPr>
          <w:ilvl w:val="0"/>
          <w:numId w:val="14"/>
        </w:numPr>
        <w:spacing w:line="240" w:lineRule="atLeast"/>
        <w:rPr>
          <w:rFonts w:cstheme="minorHAnsi"/>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w:t>
      </w:r>
      <w:r>
        <w:rPr>
          <w:rFonts w:cstheme="minorHAnsi"/>
          <w:szCs w:val="20"/>
        </w:rPr>
        <w:t>Hungarian</w:t>
      </w:r>
      <w:r w:rsidRPr="001A612A">
        <w:rPr>
          <w:rFonts w:cstheme="minorHAnsi"/>
          <w:szCs w:val="20"/>
        </w:rPr>
        <w:t xml:space="preserve"> </w:t>
      </w:r>
      <w:r>
        <w:rPr>
          <w:rFonts w:cstheme="minorHAnsi"/>
          <w:szCs w:val="20"/>
        </w:rPr>
        <w:t xml:space="preserve">part.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2E5FFF" w:rsidRDefault="002E5FFF">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776ECE">
        <w:rPr>
          <w:b/>
        </w:rPr>
        <w:t>Slovenia</w:t>
      </w:r>
      <w:r w:rsidR="005467D3">
        <w:rPr>
          <w:b/>
        </w:rPr>
        <w:t xml:space="preserve"> - Hungary</w:t>
      </w:r>
    </w:p>
    <w:p w:rsidR="008A3B96" w:rsidRDefault="008A3B96" w:rsidP="008A3B96"/>
    <w:p w:rsidR="008A3B96" w:rsidRDefault="00286757" w:rsidP="008A3B96">
      <w:pPr>
        <w:spacing w:after="0" w:line="240" w:lineRule="auto"/>
      </w:pPr>
      <w:r w:rsidRPr="00286757">
        <w:rPr>
          <w:noProof/>
          <w:lang w:val="de-DE" w:eastAsia="de-DE"/>
        </w:rPr>
        <w:pict>
          <v:oval id="_x0000_s1029" style="position:absolute;left:0;text-align:left;margin-left:223.3pt;margin-top:252.1pt;width:20.1pt;height:23pt;z-index:251679232" filled="f" strokecolor="#0070c0" strokeweight="2pt"/>
        </w:pict>
      </w:r>
      <w:r w:rsidR="00071208">
        <w:rPr>
          <w:noProof/>
          <w:lang w:val="en-US"/>
        </w:rPr>
        <w:drawing>
          <wp:inline distT="0" distB="0" distL="0" distR="0">
            <wp:extent cx="5278755" cy="6284584"/>
            <wp:effectExtent l="19050" t="0" r="0" b="0"/>
            <wp:docPr id="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BE34AD">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352111">
        <w:t>In the framework of the Europe</w:t>
      </w:r>
      <w:r w:rsidR="00276DA6">
        <w:t xml:space="preserve"> 2020 Strategy it means </w:t>
      </w:r>
      <w:r w:rsidR="006D6890">
        <w:t>focus on competitiveness, resource efficiency, climate change and biodiversity</w:t>
      </w:r>
      <w:r w:rsidR="00276DA6">
        <w:t>.</w:t>
      </w:r>
    </w:p>
    <w:p w:rsidR="00FC33B7" w:rsidRPr="00BE34AD" w:rsidRDefault="00101B63" w:rsidP="00101B63">
      <w:r>
        <w:rPr>
          <w:noProof/>
          <w:lang w:val="en-US"/>
        </w:rPr>
        <w:drawing>
          <wp:anchor distT="0" distB="0" distL="114300" distR="114300" simplePos="0" relativeHeight="251688448" behindDoc="1" locked="0" layoutInCell="1" allowOverlap="1">
            <wp:simplePos x="0" y="0"/>
            <wp:positionH relativeFrom="column">
              <wp:posOffset>17145</wp:posOffset>
            </wp:positionH>
            <wp:positionV relativeFrom="paragraph">
              <wp:posOffset>-635</wp:posOffset>
            </wp:positionV>
            <wp:extent cx="5273675" cy="3051175"/>
            <wp:effectExtent l="19050" t="0" r="3175" b="0"/>
            <wp:wrapTight wrapText="bothSides">
              <wp:wrapPolygon edited="0">
                <wp:start x="-78" y="0"/>
                <wp:lineTo x="-78" y="20634"/>
                <wp:lineTo x="21613" y="20634"/>
                <wp:lineTo x="21613" y="0"/>
                <wp:lineTo x="-78" y="0"/>
              </wp:wrapPolygon>
            </wp:wrapTight>
            <wp:docPr id="8" name="Bild 2" descr="C:\Dokumente und Einstellungen\pucher\Desktop\TL_CBC1\CBC_TL_Slovenia_Hungary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lovenia_Hungary1b.png"/>
                    <pic:cNvPicPr>
                      <a:picLocks noChangeAspect="1" noChangeArrowheads="1"/>
                    </pic:cNvPicPr>
                  </pic:nvPicPr>
                  <pic:blipFill>
                    <a:blip r:embed="rId17" cstate="print"/>
                    <a:srcRect/>
                    <a:stretch>
                      <a:fillRect/>
                    </a:stretch>
                  </pic:blipFill>
                  <pic:spPr bwMode="auto">
                    <a:xfrm>
                      <a:off x="0" y="0"/>
                      <a:ext cx="5273675" cy="3051175"/>
                    </a:xfrm>
                    <a:prstGeom prst="rect">
                      <a:avLst/>
                    </a:prstGeom>
                    <a:noFill/>
                    <a:ln w="9525">
                      <a:noFill/>
                      <a:miter lim="800000"/>
                      <a:headEnd/>
                      <a:tailEnd/>
                    </a:ln>
                  </pic:spPr>
                </pic:pic>
              </a:graphicData>
            </a:graphic>
          </wp:anchor>
        </w:drawing>
      </w:r>
      <w:r w:rsidR="00FC33B7" w:rsidRPr="00BE34AD">
        <w:t xml:space="preserve">The use of wind energy potential could be one of the cornerstones in building a competitive low-carbon economy in the EU. The programme area shows a median value that is </w:t>
      </w:r>
      <w:r w:rsidR="009E7203" w:rsidRPr="00BE34AD">
        <w:t>similar to</w:t>
      </w:r>
      <w:r w:rsidR="00FC33B7" w:rsidRPr="00BE34AD">
        <w:t xml:space="preserve"> the EU 27+4 and all the CBC programme areas in Europe. The CBC </w:t>
      </w:r>
      <w:r w:rsidR="00793141" w:rsidRPr="00BE34AD">
        <w:t>area shows a significantly higher</w:t>
      </w:r>
      <w:r w:rsidR="00FC33B7" w:rsidRPr="00BE34AD">
        <w:t xml:space="preserve"> value tha</w:t>
      </w:r>
      <w:r w:rsidR="00793141" w:rsidRPr="00BE34AD">
        <w:t>n the national level of Slovenia</w:t>
      </w:r>
      <w:r w:rsidR="00FC33B7" w:rsidRPr="00BE34AD">
        <w:t xml:space="preserve"> whereas there is a higher potential in using this sustainable resource </w:t>
      </w:r>
      <w:r w:rsidR="00793141" w:rsidRPr="00BE34AD">
        <w:t>in Hungary compared to the Slovenian</w:t>
      </w:r>
      <w:r w:rsidR="00FC33B7" w:rsidRPr="00BE34AD">
        <w:t xml:space="preserve"> national values.</w:t>
      </w:r>
      <w:r w:rsidR="004B299C" w:rsidRPr="00BE34AD">
        <w:t xml:space="preserve"> Regarding the ozone concentration, the CBC area shows lower value than the EU 27+4</w:t>
      </w:r>
      <w:r w:rsidR="00FC33B7" w:rsidRPr="00BE34AD">
        <w:t xml:space="preserve"> </w:t>
      </w:r>
      <w:r w:rsidR="004B299C" w:rsidRPr="00BE34AD">
        <w:t>and all the CBC programme areas. The programme area and Hungary</w:t>
      </w:r>
      <w:r w:rsidR="00FC33B7" w:rsidRPr="00BE34AD">
        <w:t xml:space="preserve"> are on a similar level. </w:t>
      </w:r>
    </w:p>
    <w:p w:rsidR="00FC33B7" w:rsidRPr="00BE34AD" w:rsidRDefault="004B299C" w:rsidP="00FC33B7">
      <w:r w:rsidRPr="00BE34AD">
        <w:t xml:space="preserve">The Slovenia - Hungary </w:t>
      </w:r>
      <w:r w:rsidR="00FC33B7" w:rsidRPr="00BE34AD">
        <w:t xml:space="preserve">programme is </w:t>
      </w:r>
      <w:r w:rsidRPr="00BE34AD">
        <w:t>more</w:t>
      </w:r>
      <w:r w:rsidR="00FC33B7" w:rsidRPr="00BE34AD">
        <w:t xml:space="preserve"> vulnerable to potential climate change compared to the EU 27+4 and all the CBC regions together. Also compared to the </w:t>
      </w:r>
      <w:r w:rsidRPr="00BE34AD">
        <w:t>Hungarian national level</w:t>
      </w:r>
      <w:r w:rsidR="00FC33B7" w:rsidRPr="00BE34AD">
        <w:t xml:space="preserve"> the cooperation area is highly vulnerable. Both sides of the border in the CBC area are not affected by territorial impact of Directive 11 on fossil fuel consumption (MAP 2) and their combined adaptive capacity to climate change (BOX-PLOT 1) in general similar to t</w:t>
      </w:r>
      <w:r w:rsidR="006209E8" w:rsidRPr="00BE34AD">
        <w:t>he national levels. On the Hungarian</w:t>
      </w:r>
      <w:r w:rsidR="00FC33B7" w:rsidRPr="00BE34AD">
        <w:t xml:space="preserve"> side the NUTS3 region of </w:t>
      </w:r>
      <w:r w:rsidR="006209E8" w:rsidRPr="00BE34AD">
        <w:t xml:space="preserve">Vas and Zala </w:t>
      </w:r>
      <w:r w:rsidR="00FC33B7" w:rsidRPr="00BE34AD">
        <w:t xml:space="preserve">show a high capacity compared to the respective national values. </w:t>
      </w:r>
    </w:p>
    <w:p w:rsidR="00041A22" w:rsidRPr="006209E8" w:rsidRDefault="00041A22">
      <w:pPr>
        <w:spacing w:after="0" w:line="240" w:lineRule="auto"/>
        <w:jc w:val="left"/>
        <w:rPr>
          <w:b/>
        </w:rPr>
      </w:pPr>
      <w:r w:rsidRPr="006209E8">
        <w:rPr>
          <w:b/>
          <w:color w:val="FF0000"/>
        </w:rP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w:t>
      </w:r>
      <w:r w:rsidR="00776ECE">
        <w:rPr>
          <w:b/>
        </w:rPr>
        <w:t xml:space="preserve"> </w:t>
      </w:r>
      <w:r w:rsidR="005467D3">
        <w:rPr>
          <w:b/>
        </w:rPr>
        <w:t>Slovenia - Hungary</w:t>
      </w:r>
    </w:p>
    <w:p w:rsidR="00D26713" w:rsidRDefault="00D26713" w:rsidP="00D26713">
      <w:pPr>
        <w:spacing w:after="0" w:line="240" w:lineRule="auto"/>
        <w:rPr>
          <w:noProof/>
          <w:lang w:eastAsia="en-GB"/>
        </w:rPr>
      </w:pPr>
    </w:p>
    <w:p w:rsidR="00D26713" w:rsidRDefault="00286757" w:rsidP="00D26713">
      <w:pPr>
        <w:spacing w:after="0" w:line="240" w:lineRule="auto"/>
        <w:rPr>
          <w:noProof/>
          <w:lang w:eastAsia="en-GB"/>
        </w:rPr>
      </w:pPr>
      <w:r w:rsidRPr="00286757">
        <w:rPr>
          <w:noProof/>
          <w:lang w:val="de-DE" w:eastAsia="de-DE"/>
        </w:rPr>
        <w:pict>
          <v:oval id="_x0000_s1030" style="position:absolute;left:0;text-align:left;margin-left:236.65pt;margin-top:228.35pt;width:20.1pt;height:23pt;z-index:251680256" filled="f" strokecolor="#0070c0" strokeweight="2pt"/>
        </w:pict>
      </w:r>
      <w:r w:rsidR="00071208">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1E4C62">
        <w:rPr>
          <w:b/>
        </w:rPr>
        <w:lastRenderedPageBreak/>
        <w:t>BOX</w:t>
      </w:r>
      <w:r w:rsidR="0054220D" w:rsidRPr="001E4C62">
        <w:rPr>
          <w:b/>
        </w:rPr>
        <w:t>-</w:t>
      </w:r>
      <w:r w:rsidRPr="001E4C62">
        <w:rPr>
          <w:b/>
        </w:rPr>
        <w:t>PLOT</w:t>
      </w:r>
      <w:r w:rsidR="00016B50" w:rsidRPr="001E4C62">
        <w:rPr>
          <w:b/>
        </w:rPr>
        <w:t xml:space="preserve"> 1 – </w:t>
      </w:r>
      <w:r w:rsidRPr="001E4C62">
        <w:rPr>
          <w:b/>
        </w:rPr>
        <w:t>Combined adaptive capacity to climate change (ESPON CLIMATE project)</w:t>
      </w:r>
      <w:r w:rsidR="002371D8" w:rsidRPr="001E4C62">
        <w:rPr>
          <w:b/>
        </w:rPr>
        <w:t xml:space="preserve"> for the CBC</w:t>
      </w:r>
      <w:r w:rsidR="00776ECE" w:rsidRPr="001E4C62">
        <w:rPr>
          <w:b/>
        </w:rPr>
        <w:t xml:space="preserve"> </w:t>
      </w:r>
      <w:r w:rsidR="005467D3">
        <w:rPr>
          <w:b/>
        </w:rPr>
        <w:t xml:space="preserve">Slovenia </w:t>
      </w:r>
      <w:r w:rsidR="0053355E">
        <w:rPr>
          <w:b/>
        </w:rPr>
        <w:t>–</w:t>
      </w:r>
      <w:r w:rsidR="005467D3">
        <w:rPr>
          <w:b/>
        </w:rPr>
        <w:t xml:space="preserve"> Hungary</w:t>
      </w:r>
    </w:p>
    <w:p w:rsidR="0053355E" w:rsidRPr="00021CAB" w:rsidRDefault="0053355E" w:rsidP="0053355E">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1E4C62" w:rsidP="006E618B">
      <w:pPr>
        <w:spacing w:after="0" w:line="240" w:lineRule="auto"/>
        <w:rPr>
          <w:noProof/>
          <w:lang w:eastAsia="en-GB"/>
        </w:rPr>
      </w:pPr>
      <w:r>
        <w:rPr>
          <w:noProof/>
          <w:lang w:val="en-US"/>
        </w:rPr>
        <w:drawing>
          <wp:inline distT="0" distB="0" distL="0" distR="0">
            <wp:extent cx="5278755" cy="4224356"/>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BE34AD">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101B63" w:rsidRDefault="00101B63" w:rsidP="00B135A2">
      <w:r>
        <w:rPr>
          <w:noProof/>
          <w:lang w:val="en-US"/>
        </w:rPr>
        <w:drawing>
          <wp:anchor distT="0" distB="0" distL="114300" distR="114300" simplePos="0" relativeHeight="251689472" behindDoc="1" locked="0" layoutInCell="1" allowOverlap="1">
            <wp:simplePos x="0" y="0"/>
            <wp:positionH relativeFrom="column">
              <wp:posOffset>15240</wp:posOffset>
            </wp:positionH>
            <wp:positionV relativeFrom="paragraph">
              <wp:posOffset>13335</wp:posOffset>
            </wp:positionV>
            <wp:extent cx="5273675" cy="2658110"/>
            <wp:effectExtent l="19050" t="0" r="3175" b="0"/>
            <wp:wrapTight wrapText="bothSides">
              <wp:wrapPolygon edited="0">
                <wp:start x="-78" y="0"/>
                <wp:lineTo x="-78" y="20589"/>
                <wp:lineTo x="21613" y="20589"/>
                <wp:lineTo x="21613" y="0"/>
                <wp:lineTo x="-78" y="0"/>
              </wp:wrapPolygon>
            </wp:wrapTight>
            <wp:docPr id="9" name="Bild 3" descr="C:\Dokumente und Einstellungen\pucher\Desktop\TL_CBC1\CBC_TL_Slovenia_Hungary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lovenia_Hungary1c.png"/>
                    <pic:cNvPicPr>
                      <a:picLocks noChangeAspect="1" noChangeArrowheads="1"/>
                    </pic:cNvPicPr>
                  </pic:nvPicPr>
                  <pic:blipFill>
                    <a:blip r:embed="rId20" cstate="print"/>
                    <a:srcRect/>
                    <a:stretch>
                      <a:fillRect/>
                    </a:stretch>
                  </pic:blipFill>
                  <pic:spPr bwMode="auto">
                    <a:xfrm>
                      <a:off x="0" y="0"/>
                      <a:ext cx="5273675" cy="2658110"/>
                    </a:xfrm>
                    <a:prstGeom prst="rect">
                      <a:avLst/>
                    </a:prstGeom>
                    <a:noFill/>
                    <a:ln w="9525">
                      <a:noFill/>
                      <a:miter lim="800000"/>
                      <a:headEnd/>
                      <a:tailEnd/>
                    </a:ln>
                  </pic:spPr>
                </pic:pic>
              </a:graphicData>
            </a:graphic>
          </wp:anchor>
        </w:drawing>
      </w:r>
    </w:p>
    <w:p w:rsidR="006E6661" w:rsidRPr="00BE34AD" w:rsidRDefault="00424617" w:rsidP="006209E8">
      <w:pPr>
        <w:spacing w:before="120" w:after="0" w:line="240" w:lineRule="auto"/>
        <w:rPr>
          <w:noProof/>
          <w:lang w:eastAsia="en-GB"/>
        </w:rPr>
      </w:pPr>
      <w:r w:rsidRPr="00BE34AD">
        <w:rPr>
          <w:noProof/>
          <w:lang w:eastAsia="en-GB"/>
        </w:rPr>
        <w:t>The CBC area of Slovenia - Hungary</w:t>
      </w:r>
      <w:r w:rsidR="00096404" w:rsidRPr="00BE34AD">
        <w:rPr>
          <w:noProof/>
          <w:lang w:eastAsia="en-GB"/>
        </w:rPr>
        <w:t xml:space="preserve"> in general shows higher values in the case of long-term unemployed persons </w:t>
      </w:r>
      <w:r w:rsidRPr="00BE34AD">
        <w:rPr>
          <w:noProof/>
          <w:lang w:eastAsia="en-GB"/>
        </w:rPr>
        <w:t>and lower values in case of persons at risk of poverty compared to the EU27+4 and the other CBC regions in Europe. Exeptional case is</w:t>
      </w:r>
      <w:r w:rsidR="00096404" w:rsidRPr="00BE34AD">
        <w:rPr>
          <w:noProof/>
          <w:lang w:eastAsia="en-GB"/>
        </w:rPr>
        <w:t xml:space="preserve"> the long-term unemployment rate of th</w:t>
      </w:r>
      <w:r w:rsidRPr="00BE34AD">
        <w:rPr>
          <w:noProof/>
          <w:lang w:eastAsia="en-GB"/>
        </w:rPr>
        <w:t>e CBC area compared to the Slovenian</w:t>
      </w:r>
      <w:r w:rsidR="00096404" w:rsidRPr="00BE34AD">
        <w:rPr>
          <w:noProof/>
          <w:lang w:eastAsia="en-GB"/>
        </w:rPr>
        <w:t xml:space="preserve"> national level</w:t>
      </w:r>
      <w:r w:rsidRPr="00BE34AD">
        <w:rPr>
          <w:noProof/>
          <w:lang w:eastAsia="en-GB"/>
        </w:rPr>
        <w:t xml:space="preserve"> where the value is lower than the median value of the CBC area. </w:t>
      </w:r>
      <w:r w:rsidR="00096404" w:rsidRPr="00BE34AD">
        <w:rPr>
          <w:noProof/>
          <w:lang w:eastAsia="en-GB"/>
        </w:rPr>
        <w:t xml:space="preserve">Looking at the employment rates (BOX-PLOT 2) in the programme area compared to the EU27+4 and the CBC areas as a whole, the majority of </w:t>
      </w:r>
      <w:r w:rsidR="00796CE9" w:rsidRPr="00BE34AD">
        <w:rPr>
          <w:noProof/>
          <w:lang w:eastAsia="en-GB"/>
        </w:rPr>
        <w:t>NUTS3 regions in Slovenia - Hungary</w:t>
      </w:r>
      <w:r w:rsidR="00096404" w:rsidRPr="00BE34AD">
        <w:rPr>
          <w:noProof/>
          <w:lang w:eastAsia="en-GB"/>
        </w:rPr>
        <w:t xml:space="preserve"> have a lower employment rate. The</w:t>
      </w:r>
      <w:r w:rsidR="006209E8" w:rsidRPr="00BE34AD">
        <w:rPr>
          <w:noProof/>
          <w:lang w:eastAsia="en-GB"/>
        </w:rPr>
        <w:t xml:space="preserve"> Slovenian region of Pomurska</w:t>
      </w:r>
      <w:r w:rsidR="00096404" w:rsidRPr="00BE34AD">
        <w:rPr>
          <w:noProof/>
          <w:lang w:eastAsia="en-GB"/>
        </w:rPr>
        <w:t xml:space="preserve"> has an employment rate that is higher than all the other NUTS3 regions of the CBC area. Analysing the different scenarios highlighted in the ESPON DEMIFER project (MAP 3) regarding the change in labour force until 2050, it can be stated that the situation </w:t>
      </w:r>
      <w:r w:rsidR="006E6661" w:rsidRPr="00BE34AD">
        <w:rPr>
          <w:noProof/>
          <w:lang w:eastAsia="en-GB"/>
        </w:rPr>
        <w:t xml:space="preserve">is the same in the Slovenian and the Hungarian part of the cooperation area. Whatever scenario will take place, there are significantly negative changes on both sides of the border in all the four scenarios. </w:t>
      </w:r>
    </w:p>
    <w:p w:rsidR="00096404" w:rsidRDefault="00096404" w:rsidP="00096404">
      <w:pPr>
        <w:spacing w:after="0" w:line="240" w:lineRule="auto"/>
        <w:rPr>
          <w:noProof/>
          <w:lang w:eastAsia="en-GB"/>
        </w:rPr>
      </w:pPr>
    </w:p>
    <w:p w:rsidR="00104631" w:rsidRDefault="00104631">
      <w:pPr>
        <w:spacing w:after="0" w:line="240" w:lineRule="auto"/>
        <w:jc w:val="left"/>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w:t>
      </w:r>
      <w:r w:rsidR="00776ECE">
        <w:rPr>
          <w:b/>
        </w:rPr>
        <w:t xml:space="preserve"> </w:t>
      </w:r>
      <w:r w:rsidR="005467D3">
        <w:rPr>
          <w:b/>
        </w:rPr>
        <w:t>Slovenia - Hungary</w:t>
      </w:r>
    </w:p>
    <w:p w:rsidR="0089569C" w:rsidRDefault="0089569C" w:rsidP="0089569C">
      <w:pPr>
        <w:spacing w:after="0" w:line="240" w:lineRule="auto"/>
        <w:rPr>
          <w:noProof/>
          <w:lang w:eastAsia="en-GB"/>
        </w:rPr>
      </w:pPr>
    </w:p>
    <w:p w:rsidR="0089569C" w:rsidRDefault="00286757" w:rsidP="0089569C">
      <w:pPr>
        <w:spacing w:after="0" w:line="240" w:lineRule="auto"/>
        <w:rPr>
          <w:noProof/>
          <w:lang w:eastAsia="en-GB"/>
        </w:rPr>
      </w:pPr>
      <w:r w:rsidRPr="00286757">
        <w:rPr>
          <w:noProof/>
          <w:lang w:val="de-DE" w:eastAsia="de-DE"/>
        </w:rPr>
        <w:pict>
          <v:oval id="_x0000_s1034" style="position:absolute;left:0;text-align:left;margin-left:316.9pt;margin-top:339.1pt;width:14.4pt;height:16.5pt;z-index:251684352" filled="f" strokecolor="#0070c0" strokeweight="2pt"/>
        </w:pict>
      </w:r>
      <w:r w:rsidRPr="00286757">
        <w:rPr>
          <w:noProof/>
          <w:lang w:val="de-DE" w:eastAsia="de-DE"/>
        </w:rPr>
        <w:pict>
          <v:oval id="_x0000_s1033" style="position:absolute;left:0;text-align:left;margin-left:118pt;margin-top:339.1pt;width:14.4pt;height:16.5pt;z-index:251683328" filled="f" strokecolor="#0070c0" strokeweight="2pt"/>
        </w:pict>
      </w:r>
      <w:r w:rsidRPr="00286757">
        <w:rPr>
          <w:noProof/>
          <w:lang w:val="de-DE" w:eastAsia="de-DE"/>
        </w:rPr>
        <w:pict>
          <v:oval id="_x0000_s1032" style="position:absolute;left:0;text-align:left;margin-left:316.9pt;margin-top:135.1pt;width:14.4pt;height:16.5pt;z-index:251682304" filled="f" strokecolor="#0070c0" strokeweight="2pt"/>
        </w:pict>
      </w:r>
      <w:r w:rsidRPr="00286757">
        <w:rPr>
          <w:noProof/>
          <w:lang w:val="de-DE" w:eastAsia="de-DE"/>
        </w:rPr>
        <w:pict>
          <v:oval id="_x0000_s1031" style="position:absolute;left:0;text-align:left;margin-left:118pt;margin-top:135.1pt;width:14.4pt;height:16.5pt;z-index:251681280" filled="f" strokecolor="#0070c0" strokeweight="2pt"/>
        </w:pict>
      </w:r>
      <w:r w:rsidR="00D52344">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1E4C62">
        <w:rPr>
          <w:b/>
        </w:rPr>
        <w:lastRenderedPageBreak/>
        <w:t>BOX</w:t>
      </w:r>
      <w:r w:rsidR="0054220D" w:rsidRPr="001E4C62">
        <w:rPr>
          <w:b/>
        </w:rPr>
        <w:t>-</w:t>
      </w:r>
      <w:r w:rsidRPr="001E4C62">
        <w:rPr>
          <w:b/>
        </w:rPr>
        <w:t>PLOT</w:t>
      </w:r>
      <w:r w:rsidR="00016B50" w:rsidRPr="001E4C62">
        <w:rPr>
          <w:b/>
        </w:rPr>
        <w:t xml:space="preserve"> 2</w:t>
      </w:r>
      <w:r w:rsidRPr="001E4C62">
        <w:rPr>
          <w:b/>
        </w:rPr>
        <w:t xml:space="preserve"> – Employment rate 2010</w:t>
      </w:r>
      <w:r w:rsidR="002371D8" w:rsidRPr="001E4C62">
        <w:rPr>
          <w:b/>
        </w:rPr>
        <w:t xml:space="preserve"> within the CBC</w:t>
      </w:r>
      <w:r w:rsidR="00776ECE" w:rsidRPr="001E4C62">
        <w:rPr>
          <w:b/>
        </w:rPr>
        <w:t xml:space="preserve"> </w:t>
      </w:r>
      <w:r w:rsidR="005467D3">
        <w:rPr>
          <w:b/>
        </w:rPr>
        <w:t>Slovenia - Hungary</w:t>
      </w:r>
    </w:p>
    <w:p w:rsidR="00FD4E3A" w:rsidRDefault="001E4C62" w:rsidP="00FD4E3A">
      <w:pPr>
        <w:spacing w:after="0" w:line="240" w:lineRule="auto"/>
        <w:jc w:val="left"/>
        <w:rPr>
          <w:noProof/>
          <w:lang w:eastAsia="en-GB"/>
        </w:rPr>
      </w:pPr>
      <w:r>
        <w:rPr>
          <w:noProof/>
          <w:lang w:val="en-US"/>
        </w:rPr>
        <w:drawing>
          <wp:inline distT="0" distB="0" distL="0" distR="0">
            <wp:extent cx="5278755" cy="4224356"/>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352111">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BE34AD" w:rsidRDefault="005761A6" w:rsidP="005761A6">
      <w:pPr>
        <w:pStyle w:val="Heading1"/>
      </w:pPr>
      <w:r w:rsidRPr="00BE34AD">
        <w:lastRenderedPageBreak/>
        <w:t xml:space="preserve">Territorial factors of </w:t>
      </w:r>
      <w:r w:rsidR="00BE34AD" w:rsidRPr="00BE34AD">
        <w:t>interest for the programme area</w:t>
      </w:r>
    </w:p>
    <w:p w:rsidR="00BE34AD" w:rsidRDefault="00BE34AD" w:rsidP="00BE34AD">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E34AD" w:rsidRDefault="00BE34AD" w:rsidP="00BE34AD">
      <w:r>
        <w:t xml:space="preserve">In a European perspective the programme area comprises mainly rural regions, some of which close to a city and others considered as remote. The nearest urban centre is Maribor. The rural character brings various potentials and challenges for the development of the region, incl. issues related to the access to infrastructure and services. One of these concerns the low urban potential for strengthening cross-border functional areas. </w:t>
      </w:r>
    </w:p>
    <w:p w:rsidR="00BE34AD" w:rsidRDefault="00BE34AD" w:rsidP="00BE34AD">
      <w:r>
        <w:t>Some of the regional development characteristics are closely linked to the rural development opportunities and constraints identified by ESPON EDORA (see figure).</w:t>
      </w:r>
    </w:p>
    <w:p w:rsidR="00BE34AD" w:rsidRDefault="00BE34AD" w:rsidP="00BE34AD">
      <w:r>
        <w:t xml:space="preserve">Overall, the programme area has a multimodal accessibility which is below the European average. </w:t>
      </w:r>
    </w:p>
    <w:p w:rsidR="00BE34AD" w:rsidRPr="009D6849" w:rsidRDefault="00BE34AD" w:rsidP="00BE34AD">
      <w:r w:rsidRPr="009D6849">
        <w:t>The internet use and access to the Information Society in the programme a</w:t>
      </w:r>
      <w:r>
        <w:t>rea is described a</w:t>
      </w:r>
      <w:r w:rsidRPr="009D6849">
        <w:t xml:space="preserve">s </w:t>
      </w:r>
      <w:r>
        <w:t>high</w:t>
      </w:r>
      <w:r w:rsidRPr="009D6849">
        <w:t xml:space="preserve"> in a European perspective. </w:t>
      </w:r>
    </w:p>
    <w:p w:rsidR="00BE34AD" w:rsidRDefault="00BE34AD" w:rsidP="00BE34AD"/>
    <w:p w:rsidR="00BE34AD" w:rsidRDefault="00BE34AD" w:rsidP="00BE34AD">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EDORA</w:t>
      </w:r>
      <w:r w:rsidRPr="00637C5D">
        <w:rPr>
          <w:rFonts w:cs="Calibri"/>
          <w:sz w:val="18"/>
          <w:szCs w:val="20"/>
          <w:lang w:eastAsia="fr-FR"/>
        </w:rPr>
        <w:t xml:space="preserve"> –</w:t>
      </w:r>
      <w:r>
        <w:rPr>
          <w:rFonts w:cs="Calibri"/>
          <w:sz w:val="18"/>
          <w:szCs w:val="20"/>
          <w:lang w:eastAsia="fr-FR"/>
        </w:rPr>
        <w:t xml:space="preserve"> FINAL REPORT, PAGE 45:</w:t>
      </w:r>
      <w:r>
        <w:rPr>
          <w:rFonts w:cs="Calibri"/>
          <w:sz w:val="18"/>
          <w:szCs w:val="20"/>
          <w:lang w:eastAsia="fr-FR"/>
        </w:rPr>
        <w:br/>
        <w:t>E</w:t>
      </w:r>
      <w:r w:rsidRPr="00955507">
        <w:rPr>
          <w:rFonts w:cs="Calibri"/>
          <w:sz w:val="18"/>
          <w:szCs w:val="20"/>
          <w:lang w:eastAsia="fr-FR"/>
        </w:rPr>
        <w:t>xamples of Rural Opportunities and Constraints</w:t>
      </w:r>
    </w:p>
    <w:p w:rsidR="00BE34AD" w:rsidRDefault="00BE34AD" w:rsidP="00BE34AD">
      <w:pPr>
        <w:shd w:val="clear" w:color="auto" w:fill="F2F2F2" w:themeFill="background1" w:themeFillShade="F2"/>
        <w:spacing w:line="240" w:lineRule="auto"/>
        <w:jc w:val="center"/>
        <w:rPr>
          <w:rFonts w:cs="Calibri"/>
          <w:sz w:val="18"/>
          <w:szCs w:val="20"/>
          <w:lang w:eastAsia="fr-FR"/>
        </w:rPr>
      </w:pPr>
      <w:r w:rsidRPr="00955507">
        <w:rPr>
          <w:rFonts w:cs="Calibri"/>
          <w:noProof/>
          <w:sz w:val="18"/>
          <w:szCs w:val="20"/>
          <w:lang w:val="en-US"/>
        </w:rPr>
        <w:drawing>
          <wp:inline distT="0" distB="0" distL="0" distR="0">
            <wp:extent cx="5061162" cy="3219570"/>
            <wp:effectExtent l="25400" t="0" r="0" b="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62129" cy="3220185"/>
                    </a:xfrm>
                    <a:prstGeom prst="rect">
                      <a:avLst/>
                    </a:prstGeom>
                    <a:noFill/>
                    <a:ln w="9525">
                      <a:noFill/>
                      <a:miter lim="800000"/>
                      <a:headEnd/>
                      <a:tailEnd/>
                    </a:ln>
                  </pic:spPr>
                </pic:pic>
              </a:graphicData>
            </a:graphic>
          </wp:inline>
        </w:drawing>
      </w:r>
    </w:p>
    <w:p w:rsidR="00BE34AD" w:rsidRDefault="00BE34AD" w:rsidP="00BE34AD">
      <w:pPr>
        <w:shd w:val="clear" w:color="auto" w:fill="F2F2F2" w:themeFill="background1" w:themeFillShade="F2"/>
        <w:spacing w:line="240" w:lineRule="auto"/>
        <w:jc w:val="center"/>
        <w:rPr>
          <w:rFonts w:cs="Calibri"/>
          <w:sz w:val="18"/>
          <w:szCs w:val="20"/>
          <w:lang w:eastAsia="fr-FR"/>
        </w:rPr>
      </w:pPr>
    </w:p>
    <w:p w:rsidR="00BE34AD" w:rsidRPr="002527E6" w:rsidRDefault="00BE34AD" w:rsidP="00BE34AD">
      <w:pPr>
        <w:rPr>
          <w:highlight w:val="yellow"/>
        </w:rPr>
      </w:pPr>
    </w:p>
    <w:p w:rsidR="00BE34AD" w:rsidRPr="00BE34AD" w:rsidRDefault="00BE34AD" w:rsidP="00BE34AD">
      <w:pPr>
        <w:rPr>
          <w:highlight w:val="yellow"/>
        </w:rPr>
      </w:pPr>
    </w:p>
    <w:p w:rsidR="00BE34AD" w:rsidRPr="00BE34AD" w:rsidRDefault="00BE34AD" w:rsidP="00BE34AD">
      <w:pPr>
        <w:rPr>
          <w:highlight w:val="yellow"/>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for the CBC</w:t>
      </w:r>
      <w:r w:rsidR="00776ECE">
        <w:rPr>
          <w:b/>
        </w:rPr>
        <w:t xml:space="preserve"> </w:t>
      </w:r>
      <w:r w:rsidR="005467D3">
        <w:rPr>
          <w:b/>
        </w:rPr>
        <w:t>Slovenia - Hungary</w:t>
      </w:r>
    </w:p>
    <w:p w:rsidR="0089569C" w:rsidRDefault="0089569C" w:rsidP="0089569C">
      <w:pPr>
        <w:spacing w:after="0" w:line="240" w:lineRule="auto"/>
        <w:jc w:val="left"/>
        <w:rPr>
          <w:noProof/>
          <w:lang w:eastAsia="en-GB"/>
        </w:rPr>
      </w:pPr>
    </w:p>
    <w:p w:rsidR="0089569C" w:rsidRDefault="00286757" w:rsidP="0089569C">
      <w:pPr>
        <w:spacing w:after="0" w:line="240" w:lineRule="auto"/>
        <w:jc w:val="left"/>
        <w:rPr>
          <w:noProof/>
          <w:lang w:eastAsia="en-GB"/>
        </w:rPr>
      </w:pPr>
      <w:r w:rsidRPr="00286757">
        <w:rPr>
          <w:noProof/>
          <w:lang w:val="de-DE" w:eastAsia="de-DE"/>
        </w:rPr>
        <w:pict>
          <v:oval id="_x0000_s1035" style="position:absolute;margin-left:220pt;margin-top:265.7pt;width:16.65pt;height:19.1pt;z-index:251685376" filled="f" strokecolor="#0070c0" strokeweight="2pt"/>
        </w:pict>
      </w:r>
      <w:r w:rsidR="00071208">
        <w:rPr>
          <w:noProof/>
          <w:lang w:val="en-US"/>
        </w:rPr>
        <w:drawing>
          <wp:inline distT="0" distB="0" distL="0" distR="0">
            <wp:extent cx="5278755" cy="7214065"/>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FC0AB7" w:rsidRPr="0085195F" w:rsidRDefault="00FC0AB7" w:rsidP="00FC0AB7">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53355E">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for the CBC</w:t>
      </w:r>
      <w:r w:rsidR="00776ECE">
        <w:rPr>
          <w:b/>
        </w:rPr>
        <w:t xml:space="preserve"> </w:t>
      </w:r>
      <w:r w:rsidR="005467D3">
        <w:rPr>
          <w:b/>
        </w:rPr>
        <w:t xml:space="preserve">Slovenia </w:t>
      </w:r>
      <w:r w:rsidR="0053355E">
        <w:rPr>
          <w:b/>
        </w:rPr>
        <w:t>–</w:t>
      </w:r>
      <w:r w:rsidR="005467D3">
        <w:rPr>
          <w:b/>
        </w:rPr>
        <w:t xml:space="preserve"> Hungary</w:t>
      </w:r>
    </w:p>
    <w:p w:rsidR="0053355E" w:rsidRPr="00021CAB" w:rsidRDefault="0053355E" w:rsidP="0053355E">
      <w:pPr>
        <w:spacing w:after="240"/>
        <w:rPr>
          <w:i/>
        </w:rPr>
      </w:pPr>
      <w:r w:rsidRPr="00021CAB">
        <w:rPr>
          <w:i/>
        </w:rPr>
        <w:t>“Potential Accessibility Multimodal” scores accessibility of NUTS 3 regions by road, rail and air relative to the European average in an Accessibility Index.</w:t>
      </w:r>
    </w:p>
    <w:p w:rsidR="0089569C" w:rsidRDefault="00286757" w:rsidP="0089569C">
      <w:pPr>
        <w:spacing w:after="0" w:line="240" w:lineRule="auto"/>
        <w:jc w:val="left"/>
        <w:rPr>
          <w:noProof/>
          <w:lang w:eastAsia="en-GB"/>
        </w:rPr>
      </w:pPr>
      <w:r w:rsidRPr="00286757">
        <w:rPr>
          <w:i/>
          <w:noProof/>
          <w:lang w:val="de-DE" w:eastAsia="de-DE"/>
        </w:rPr>
        <w:pict>
          <v:oval id="_x0000_s1036" style="position:absolute;margin-left:219.75pt;margin-top:262.6pt;width:17.75pt;height:20.35pt;z-index:251686400" filled="f" strokecolor="#0070c0" strokeweight="2pt"/>
        </w:pict>
      </w:r>
      <w:r w:rsidR="00D52344">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D52344">
      <w:pPr>
        <w:spacing w:after="0" w:line="240" w:lineRule="auto"/>
        <w:jc w:val="left"/>
      </w:pPr>
      <w:r>
        <w:rPr>
          <w:noProof/>
          <w:lang w:eastAsia="en-GB"/>
        </w:rPr>
        <w:br w:type="page"/>
      </w:r>
      <w:r w:rsidR="00BE34AD">
        <w:lastRenderedPageBreak/>
        <w:t>Recommended ESPON reading</w:t>
      </w:r>
    </w:p>
    <w:p w:rsidR="00BE34AD" w:rsidRDefault="00BE34AD" w:rsidP="00BE34A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E34AD" w:rsidRDefault="00BE34AD" w:rsidP="00BE34A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BE34AD" w:rsidRPr="00A0472D" w:rsidTr="00FA4D20">
        <w:trPr>
          <w:trHeight w:val="203"/>
        </w:trPr>
        <w:tc>
          <w:tcPr>
            <w:tcW w:w="1276" w:type="dxa"/>
            <w:shd w:val="clear" w:color="auto" w:fill="auto"/>
          </w:tcPr>
          <w:p w:rsidR="00BE34AD" w:rsidRPr="00A0472D" w:rsidRDefault="00BE34AD" w:rsidP="00FA4D20">
            <w:pPr>
              <w:spacing w:after="0" w:line="20" w:lineRule="atLeast"/>
              <w:rPr>
                <w:b/>
                <w:sz w:val="18"/>
                <w:szCs w:val="18"/>
              </w:rPr>
            </w:pPr>
            <w:r w:rsidRPr="00A0472D">
              <w:rPr>
                <w:b/>
                <w:sz w:val="18"/>
                <w:szCs w:val="18"/>
              </w:rPr>
              <w:t>ESPON study</w:t>
            </w:r>
          </w:p>
        </w:tc>
        <w:tc>
          <w:tcPr>
            <w:tcW w:w="1418" w:type="dxa"/>
            <w:shd w:val="clear" w:color="auto" w:fill="auto"/>
          </w:tcPr>
          <w:p w:rsidR="00BE34AD" w:rsidRPr="00A0472D" w:rsidRDefault="00BE34AD" w:rsidP="00FA4D20">
            <w:pPr>
              <w:spacing w:after="0" w:line="20" w:lineRule="atLeast"/>
              <w:rPr>
                <w:b/>
                <w:sz w:val="18"/>
                <w:szCs w:val="18"/>
              </w:rPr>
            </w:pPr>
            <w:r w:rsidRPr="00A0472D">
              <w:rPr>
                <w:b/>
                <w:sz w:val="18"/>
                <w:szCs w:val="18"/>
              </w:rPr>
              <w:t>Topic</w:t>
            </w:r>
          </w:p>
        </w:tc>
        <w:tc>
          <w:tcPr>
            <w:tcW w:w="5670" w:type="dxa"/>
            <w:shd w:val="clear" w:color="auto" w:fill="auto"/>
          </w:tcPr>
          <w:p w:rsidR="00BE34AD" w:rsidRPr="00A0472D" w:rsidRDefault="00BE34AD" w:rsidP="00FA4D20">
            <w:pPr>
              <w:spacing w:after="0" w:line="20" w:lineRule="atLeast"/>
              <w:rPr>
                <w:b/>
                <w:sz w:val="18"/>
                <w:szCs w:val="18"/>
              </w:rPr>
            </w:pPr>
            <w:r w:rsidRPr="00A0472D">
              <w:rPr>
                <w:b/>
                <w:sz w:val="18"/>
                <w:szCs w:val="18"/>
              </w:rPr>
              <w:t>Content</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BE34AD" w:rsidRPr="00A0472D" w:rsidRDefault="00BE34AD" w:rsidP="00FA4D20">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BE34AD" w:rsidRPr="00A0472D" w:rsidRDefault="00BE34AD" w:rsidP="00FA4D20">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BE34AD" w:rsidRPr="00A0472D" w:rsidRDefault="00BE34AD" w:rsidP="00FA4D20">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BE34AD" w:rsidRPr="00A0472D" w:rsidRDefault="00BE34AD" w:rsidP="00FA4D20">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BE34AD" w:rsidRPr="00A0472D" w:rsidRDefault="00BE34AD" w:rsidP="00FA4D20">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BE34AD" w:rsidRPr="00A0472D" w:rsidTr="00FA4D20">
        <w:trPr>
          <w:trHeight w:val="274"/>
        </w:trPr>
        <w:tc>
          <w:tcPr>
            <w:tcW w:w="1276" w:type="dxa"/>
            <w:tcBorders>
              <w:bottom w:val="single" w:sz="4" w:space="0" w:color="auto"/>
            </w:tcBorders>
            <w:shd w:val="clear" w:color="auto" w:fill="FFFFFF" w:themeFill="background1"/>
          </w:tcPr>
          <w:p w:rsidR="00BE34AD" w:rsidRPr="00A0472D" w:rsidRDefault="00BE34AD" w:rsidP="00FA4D20">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BE34AD" w:rsidRPr="00A0472D" w:rsidRDefault="00BE34AD" w:rsidP="00FA4D20">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BE34AD" w:rsidRPr="00A0472D" w:rsidRDefault="00BE34AD" w:rsidP="00FA4D20">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BE34AD" w:rsidRPr="00A0472D" w:rsidTr="00FA4D20">
        <w:trPr>
          <w:trHeight w:val="274"/>
        </w:trPr>
        <w:tc>
          <w:tcPr>
            <w:tcW w:w="1276" w:type="dxa"/>
            <w:shd w:val="clear" w:color="auto" w:fill="FFFFFF" w:themeFill="background1"/>
          </w:tcPr>
          <w:p w:rsidR="00BE34AD" w:rsidRPr="008152C4" w:rsidRDefault="00BE34AD" w:rsidP="00FA4D20">
            <w:pPr>
              <w:spacing w:after="0" w:line="20" w:lineRule="atLeast"/>
              <w:rPr>
                <w:sz w:val="18"/>
                <w:szCs w:val="18"/>
              </w:rPr>
            </w:pPr>
            <w:r>
              <w:rPr>
                <w:sz w:val="18"/>
                <w:szCs w:val="18"/>
              </w:rPr>
              <w:t>KIT</w:t>
            </w:r>
          </w:p>
        </w:tc>
        <w:tc>
          <w:tcPr>
            <w:tcW w:w="1418" w:type="dxa"/>
            <w:shd w:val="clear" w:color="auto" w:fill="FFFFFF" w:themeFill="background1"/>
          </w:tcPr>
          <w:p w:rsidR="00BE34AD" w:rsidRPr="008152C4" w:rsidRDefault="00BE34AD" w:rsidP="00FA4D20">
            <w:pPr>
              <w:spacing w:after="0" w:line="20" w:lineRule="atLeast"/>
              <w:rPr>
                <w:sz w:val="18"/>
                <w:szCs w:val="18"/>
              </w:rPr>
            </w:pPr>
            <w:r w:rsidRPr="008152C4">
              <w:rPr>
                <w:sz w:val="18"/>
                <w:szCs w:val="18"/>
              </w:rPr>
              <w:t>Innovation</w:t>
            </w:r>
          </w:p>
        </w:tc>
        <w:tc>
          <w:tcPr>
            <w:tcW w:w="5670" w:type="dxa"/>
            <w:shd w:val="clear" w:color="auto" w:fill="FFFFFF" w:themeFill="background1"/>
          </w:tcPr>
          <w:p w:rsidR="00BE34AD" w:rsidRPr="008152C4" w:rsidRDefault="00BE34AD" w:rsidP="00FA4D20">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BE34AD" w:rsidRPr="00A0472D" w:rsidTr="00FA4D20">
        <w:trPr>
          <w:trHeight w:val="274"/>
        </w:trPr>
        <w:tc>
          <w:tcPr>
            <w:tcW w:w="1276" w:type="dxa"/>
            <w:shd w:val="clear" w:color="auto" w:fill="FFFFFF" w:themeFill="background1"/>
          </w:tcPr>
          <w:p w:rsidR="00BE34AD" w:rsidRPr="00A0472D" w:rsidRDefault="00BE34AD" w:rsidP="00FA4D20">
            <w:pPr>
              <w:spacing w:after="0" w:line="20" w:lineRule="atLeast"/>
              <w:rPr>
                <w:sz w:val="18"/>
                <w:szCs w:val="18"/>
              </w:rPr>
            </w:pPr>
            <w:r w:rsidRPr="008152C4">
              <w:rPr>
                <w:sz w:val="18"/>
                <w:szCs w:val="18"/>
              </w:rPr>
              <w:t>SGPTD</w:t>
            </w:r>
          </w:p>
        </w:tc>
        <w:tc>
          <w:tcPr>
            <w:tcW w:w="1418" w:type="dxa"/>
            <w:shd w:val="clear" w:color="auto" w:fill="FFFFFF" w:themeFill="background1"/>
          </w:tcPr>
          <w:p w:rsidR="00BE34AD" w:rsidRPr="00A0472D" w:rsidRDefault="00BE34AD" w:rsidP="00FA4D20">
            <w:pPr>
              <w:spacing w:after="0" w:line="20" w:lineRule="atLeast"/>
              <w:rPr>
                <w:sz w:val="18"/>
                <w:szCs w:val="18"/>
              </w:rPr>
            </w:pPr>
            <w:r w:rsidRPr="008152C4">
              <w:rPr>
                <w:sz w:val="18"/>
                <w:szCs w:val="18"/>
              </w:rPr>
              <w:t>Growth poles</w:t>
            </w:r>
          </w:p>
        </w:tc>
        <w:tc>
          <w:tcPr>
            <w:tcW w:w="5670" w:type="dxa"/>
            <w:shd w:val="clear" w:color="auto" w:fill="FFFFFF" w:themeFill="background1"/>
          </w:tcPr>
          <w:p w:rsidR="00BE34AD" w:rsidRPr="00A0472D" w:rsidRDefault="00BE34AD" w:rsidP="00FA4D20">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BE34AD" w:rsidRPr="004C4EEF" w:rsidTr="00FA4D20">
        <w:trPr>
          <w:trHeight w:val="274"/>
        </w:trPr>
        <w:tc>
          <w:tcPr>
            <w:tcW w:w="1276" w:type="dxa"/>
            <w:shd w:val="clear" w:color="auto" w:fill="FFFFFF" w:themeFill="background1"/>
          </w:tcPr>
          <w:p w:rsidR="00BE34AD" w:rsidRPr="009D2E8A" w:rsidRDefault="00BE34AD" w:rsidP="00FA4D20">
            <w:pPr>
              <w:spacing w:after="0" w:line="20" w:lineRule="atLeast"/>
              <w:rPr>
                <w:sz w:val="18"/>
                <w:szCs w:val="18"/>
              </w:rPr>
            </w:pPr>
            <w:r w:rsidRPr="00DF1E3F">
              <w:rPr>
                <w:sz w:val="18"/>
                <w:szCs w:val="18"/>
              </w:rPr>
              <w:t>ATTREG</w:t>
            </w:r>
          </w:p>
        </w:tc>
        <w:tc>
          <w:tcPr>
            <w:tcW w:w="1418" w:type="dxa"/>
            <w:shd w:val="clear" w:color="auto" w:fill="FFFFFF" w:themeFill="background1"/>
          </w:tcPr>
          <w:p w:rsidR="00BE34AD" w:rsidRPr="009D2E8A" w:rsidRDefault="00BE34AD" w:rsidP="00FA4D20">
            <w:pPr>
              <w:spacing w:after="0" w:line="20" w:lineRule="atLeast"/>
              <w:rPr>
                <w:sz w:val="18"/>
                <w:szCs w:val="18"/>
              </w:rPr>
            </w:pPr>
            <w:r w:rsidRPr="00DF1E3F">
              <w:rPr>
                <w:sz w:val="18"/>
                <w:szCs w:val="18"/>
              </w:rPr>
              <w:t>Attractive</w:t>
            </w:r>
            <w:r>
              <w:rPr>
                <w:sz w:val="18"/>
                <w:szCs w:val="18"/>
              </w:rPr>
              <w:t>-</w:t>
            </w:r>
            <w:r w:rsidRPr="00DF1E3F">
              <w:rPr>
                <w:sz w:val="18"/>
                <w:szCs w:val="18"/>
              </w:rPr>
              <w:t>ness</w:t>
            </w:r>
          </w:p>
        </w:tc>
        <w:tc>
          <w:tcPr>
            <w:tcW w:w="5670" w:type="dxa"/>
            <w:shd w:val="clear" w:color="auto" w:fill="FFFFFF" w:themeFill="background1"/>
          </w:tcPr>
          <w:p w:rsidR="00BE34AD" w:rsidRPr="004C4EEF" w:rsidRDefault="00BE34AD" w:rsidP="00FA4D20">
            <w:pPr>
              <w:spacing w:after="0" w:line="20" w:lineRule="atLeast"/>
              <w:rPr>
                <w:sz w:val="18"/>
                <w:szCs w:val="18"/>
              </w:rPr>
            </w:pPr>
            <w:r w:rsidRPr="004C4EEF">
              <w:rPr>
                <w:sz w:val="18"/>
                <w:szCs w:val="18"/>
              </w:rPr>
              <w:t>It provides a better understanding of the contr</w:t>
            </w:r>
            <w:r>
              <w:rPr>
                <w:sz w:val="18"/>
                <w:szCs w:val="18"/>
              </w:rPr>
              <w:t>ibution of European regions</w:t>
            </w:r>
            <w:r w:rsidRPr="004C4EEF">
              <w:rPr>
                <w:sz w:val="18"/>
                <w:szCs w:val="18"/>
              </w:rPr>
              <w:t xml:space="preserve"> and cities to economic performance. </w:t>
            </w:r>
            <w:r>
              <w:rPr>
                <w:sz w:val="18"/>
                <w:szCs w:val="18"/>
              </w:rPr>
              <w:t xml:space="preserve">Annex 4/7 analyses </w:t>
            </w:r>
            <w:r w:rsidRPr="004C4EEF">
              <w:rPr>
                <w:sz w:val="18"/>
                <w:szCs w:val="18"/>
              </w:rPr>
              <w:t>Slovenia as a cases study area</w:t>
            </w:r>
            <w:r>
              <w:rPr>
                <w:sz w:val="18"/>
                <w:szCs w:val="18"/>
              </w:rPr>
              <w:t>.</w:t>
            </w:r>
            <w:r w:rsidRPr="004C4EEF">
              <w:rPr>
                <w:sz w:val="18"/>
                <w:szCs w:val="18"/>
              </w:rPr>
              <w:t xml:space="preserve"> </w:t>
            </w:r>
          </w:p>
        </w:tc>
      </w:tr>
      <w:tr w:rsidR="00BE34AD" w:rsidRPr="00A0472D" w:rsidTr="00FA4D20">
        <w:trPr>
          <w:trHeight w:val="274"/>
        </w:trPr>
        <w:tc>
          <w:tcPr>
            <w:tcW w:w="1276" w:type="dxa"/>
            <w:shd w:val="clear" w:color="auto" w:fill="FFFFFF" w:themeFill="background1"/>
          </w:tcPr>
          <w:p w:rsidR="00BE34AD" w:rsidRPr="00DF1E3F" w:rsidRDefault="00BE34AD" w:rsidP="00FA4D20">
            <w:pPr>
              <w:spacing w:after="0" w:line="20" w:lineRule="atLeast"/>
              <w:rPr>
                <w:sz w:val="18"/>
                <w:szCs w:val="18"/>
              </w:rPr>
            </w:pPr>
            <w:r w:rsidRPr="002E6E08">
              <w:rPr>
                <w:sz w:val="18"/>
                <w:szCs w:val="18"/>
              </w:rPr>
              <w:t>EATIA</w:t>
            </w:r>
          </w:p>
        </w:tc>
        <w:tc>
          <w:tcPr>
            <w:tcW w:w="1418" w:type="dxa"/>
            <w:shd w:val="clear" w:color="auto" w:fill="FFFFFF" w:themeFill="background1"/>
          </w:tcPr>
          <w:p w:rsidR="00BE34AD" w:rsidRPr="00DF1E3F" w:rsidRDefault="00BE34AD" w:rsidP="00FA4D20">
            <w:pPr>
              <w:spacing w:after="0" w:line="20" w:lineRule="atLeast"/>
              <w:rPr>
                <w:sz w:val="18"/>
                <w:szCs w:val="18"/>
              </w:rPr>
            </w:pPr>
            <w:r w:rsidRPr="002E6E08">
              <w:rPr>
                <w:sz w:val="18"/>
                <w:szCs w:val="18"/>
              </w:rPr>
              <w:t>Territorial impact assessment</w:t>
            </w:r>
          </w:p>
        </w:tc>
        <w:tc>
          <w:tcPr>
            <w:tcW w:w="5670" w:type="dxa"/>
            <w:shd w:val="clear" w:color="auto" w:fill="FFFFFF" w:themeFill="background1"/>
          </w:tcPr>
          <w:p w:rsidR="00BE34AD" w:rsidRDefault="00BE34AD" w:rsidP="00FA4D20">
            <w:pPr>
              <w:spacing w:after="0" w:line="20" w:lineRule="atLeast"/>
              <w:rPr>
                <w:rFonts w:cs="Calibri"/>
                <w:sz w:val="18"/>
                <w:szCs w:val="20"/>
                <w:lang w:eastAsia="fr-FR"/>
              </w:rPr>
            </w:pPr>
            <w:r w:rsidRPr="002E6E08">
              <w:rPr>
                <w:rFonts w:cs="Calibri"/>
                <w:sz w:val="18"/>
                <w:szCs w:val="20"/>
                <w:lang w:eastAsia="fr-FR"/>
              </w:rPr>
              <w:t>It tests the practical use of existing methods and tools for Territorial Impact Assessment</w:t>
            </w:r>
            <w:r>
              <w:rPr>
                <w:rFonts w:cs="Calibri"/>
                <w:sz w:val="18"/>
                <w:szCs w:val="20"/>
                <w:lang w:eastAsia="fr-FR"/>
              </w:rPr>
              <w:t xml:space="preserve"> and in particular Slovenia is one case study area (see annex 2).</w:t>
            </w:r>
          </w:p>
        </w:tc>
      </w:tr>
    </w:tbl>
    <w:p w:rsidR="00BE34AD" w:rsidRDefault="00BE34AD" w:rsidP="00BE34AD">
      <w:pPr>
        <w:spacing w:before="240"/>
      </w:pPr>
      <w:r>
        <w:t>Furthermore, some of overall ESPON products of particular interest for territorial cooperation are:</w:t>
      </w:r>
    </w:p>
    <w:p w:rsidR="00BE34AD" w:rsidRDefault="00BE34AD" w:rsidP="00BE34A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E34AD" w:rsidRDefault="00BE34AD" w:rsidP="00BE34A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E34AD" w:rsidRPr="00A33083" w:rsidRDefault="00BE34AD" w:rsidP="00BE34AD">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BE34AD" w:rsidRDefault="00BE34AD" w:rsidP="00BE34AD">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BE34AD" w:rsidRPr="00CD642B" w:rsidRDefault="00BE34AD" w:rsidP="00BE34AD">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BE34AD" w:rsidRDefault="00BE34AD" w:rsidP="00BE34A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BE34AD" w:rsidRPr="003E2CCE" w:rsidRDefault="00BE34AD" w:rsidP="00BE34AD">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286757" w:rsidRPr="00286757">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7D0" w:rsidRDefault="00BE77D0">
      <w:r>
        <w:separator/>
      </w:r>
    </w:p>
  </w:endnote>
  <w:endnote w:type="continuationSeparator" w:id="0">
    <w:p w:rsidR="00BE77D0" w:rsidRDefault="00BE77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286757"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286757"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FC0AB7">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286757"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FC0AB7">
      <w:rPr>
        <w:rStyle w:val="PageNumber"/>
        <w:noProof/>
        <w:szCs w:val="20"/>
      </w:rPr>
      <w:t>3</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7D0" w:rsidRDefault="00BE77D0">
      <w:r>
        <w:separator/>
      </w:r>
    </w:p>
  </w:footnote>
  <w:footnote w:type="continuationSeparator" w:id="0">
    <w:p w:rsidR="00BE77D0" w:rsidRDefault="00BE77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286757">
    <w:pPr>
      <w:pStyle w:val="Header"/>
    </w:pPr>
    <w:r w:rsidRPr="00286757">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5555"/>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1208"/>
    <w:rsid w:val="00072557"/>
    <w:rsid w:val="00073957"/>
    <w:rsid w:val="00073BFF"/>
    <w:rsid w:val="00077C32"/>
    <w:rsid w:val="000812A6"/>
    <w:rsid w:val="00083607"/>
    <w:rsid w:val="00085BAD"/>
    <w:rsid w:val="00086387"/>
    <w:rsid w:val="00096404"/>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1B63"/>
    <w:rsid w:val="00104631"/>
    <w:rsid w:val="00105B9D"/>
    <w:rsid w:val="00112060"/>
    <w:rsid w:val="001120BB"/>
    <w:rsid w:val="00112693"/>
    <w:rsid w:val="0011785C"/>
    <w:rsid w:val="00124A38"/>
    <w:rsid w:val="0012533B"/>
    <w:rsid w:val="001260F4"/>
    <w:rsid w:val="00127104"/>
    <w:rsid w:val="00132FDD"/>
    <w:rsid w:val="00133602"/>
    <w:rsid w:val="00134DC7"/>
    <w:rsid w:val="0013600B"/>
    <w:rsid w:val="001371F4"/>
    <w:rsid w:val="001507D7"/>
    <w:rsid w:val="00150A5A"/>
    <w:rsid w:val="00150FCB"/>
    <w:rsid w:val="00151954"/>
    <w:rsid w:val="00152974"/>
    <w:rsid w:val="00153108"/>
    <w:rsid w:val="0015691A"/>
    <w:rsid w:val="00157B13"/>
    <w:rsid w:val="00162FF6"/>
    <w:rsid w:val="0016435C"/>
    <w:rsid w:val="001728F4"/>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C62"/>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4FE7"/>
    <w:rsid w:val="002371D8"/>
    <w:rsid w:val="002513B9"/>
    <w:rsid w:val="00253237"/>
    <w:rsid w:val="0025373C"/>
    <w:rsid w:val="002605E0"/>
    <w:rsid w:val="0026077F"/>
    <w:rsid w:val="00264534"/>
    <w:rsid w:val="00265996"/>
    <w:rsid w:val="00273B8E"/>
    <w:rsid w:val="00274705"/>
    <w:rsid w:val="00276DA6"/>
    <w:rsid w:val="00281A82"/>
    <w:rsid w:val="00282854"/>
    <w:rsid w:val="00285BF3"/>
    <w:rsid w:val="00286757"/>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5FFF"/>
    <w:rsid w:val="002E619E"/>
    <w:rsid w:val="002F06BA"/>
    <w:rsid w:val="002F1D75"/>
    <w:rsid w:val="002F4B38"/>
    <w:rsid w:val="002F713F"/>
    <w:rsid w:val="00303833"/>
    <w:rsid w:val="00304555"/>
    <w:rsid w:val="00304A46"/>
    <w:rsid w:val="003052B2"/>
    <w:rsid w:val="0030699A"/>
    <w:rsid w:val="00322B33"/>
    <w:rsid w:val="003231C4"/>
    <w:rsid w:val="003253E2"/>
    <w:rsid w:val="003351B4"/>
    <w:rsid w:val="00337519"/>
    <w:rsid w:val="00337872"/>
    <w:rsid w:val="00344591"/>
    <w:rsid w:val="00351255"/>
    <w:rsid w:val="00351563"/>
    <w:rsid w:val="00352111"/>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07C"/>
    <w:rsid w:val="003B0962"/>
    <w:rsid w:val="003B21D4"/>
    <w:rsid w:val="003C112D"/>
    <w:rsid w:val="003C261B"/>
    <w:rsid w:val="003C354A"/>
    <w:rsid w:val="003C3688"/>
    <w:rsid w:val="003C3FEF"/>
    <w:rsid w:val="003C4DAF"/>
    <w:rsid w:val="003D1B4F"/>
    <w:rsid w:val="003D2A84"/>
    <w:rsid w:val="003D3487"/>
    <w:rsid w:val="003D4618"/>
    <w:rsid w:val="003D4A24"/>
    <w:rsid w:val="003D5114"/>
    <w:rsid w:val="003D5CBE"/>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07BBF"/>
    <w:rsid w:val="00410A29"/>
    <w:rsid w:val="004122A0"/>
    <w:rsid w:val="00412C19"/>
    <w:rsid w:val="004173E4"/>
    <w:rsid w:val="004177FC"/>
    <w:rsid w:val="0042391C"/>
    <w:rsid w:val="00424617"/>
    <w:rsid w:val="0042502E"/>
    <w:rsid w:val="00433090"/>
    <w:rsid w:val="004353CB"/>
    <w:rsid w:val="0044029A"/>
    <w:rsid w:val="00445A8A"/>
    <w:rsid w:val="0044604E"/>
    <w:rsid w:val="00447210"/>
    <w:rsid w:val="00454825"/>
    <w:rsid w:val="00456E90"/>
    <w:rsid w:val="004604F3"/>
    <w:rsid w:val="00460F29"/>
    <w:rsid w:val="0046572E"/>
    <w:rsid w:val="00467598"/>
    <w:rsid w:val="00470A8B"/>
    <w:rsid w:val="00472744"/>
    <w:rsid w:val="00473131"/>
    <w:rsid w:val="00475DCB"/>
    <w:rsid w:val="004778EB"/>
    <w:rsid w:val="00477CEB"/>
    <w:rsid w:val="0048039B"/>
    <w:rsid w:val="004854D1"/>
    <w:rsid w:val="00485672"/>
    <w:rsid w:val="004900DF"/>
    <w:rsid w:val="004933BE"/>
    <w:rsid w:val="00496D34"/>
    <w:rsid w:val="004A0E81"/>
    <w:rsid w:val="004A1DB8"/>
    <w:rsid w:val="004A4AC7"/>
    <w:rsid w:val="004A52D3"/>
    <w:rsid w:val="004B03FD"/>
    <w:rsid w:val="004B2204"/>
    <w:rsid w:val="004B2360"/>
    <w:rsid w:val="004B2688"/>
    <w:rsid w:val="004B299C"/>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3355E"/>
    <w:rsid w:val="00541834"/>
    <w:rsid w:val="0054220D"/>
    <w:rsid w:val="005433C5"/>
    <w:rsid w:val="00545F8A"/>
    <w:rsid w:val="005463AC"/>
    <w:rsid w:val="005467D3"/>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45BF"/>
    <w:rsid w:val="005A73D9"/>
    <w:rsid w:val="005A7DFC"/>
    <w:rsid w:val="005B3722"/>
    <w:rsid w:val="005C108D"/>
    <w:rsid w:val="005C58DE"/>
    <w:rsid w:val="005C6D17"/>
    <w:rsid w:val="005D0C21"/>
    <w:rsid w:val="005D1921"/>
    <w:rsid w:val="005D2D0B"/>
    <w:rsid w:val="005D53EE"/>
    <w:rsid w:val="005D621D"/>
    <w:rsid w:val="005D6B67"/>
    <w:rsid w:val="005D78FE"/>
    <w:rsid w:val="005E463C"/>
    <w:rsid w:val="005E4E4C"/>
    <w:rsid w:val="005E6290"/>
    <w:rsid w:val="005F24DD"/>
    <w:rsid w:val="005F7BDC"/>
    <w:rsid w:val="0060091E"/>
    <w:rsid w:val="00610DAB"/>
    <w:rsid w:val="0061660C"/>
    <w:rsid w:val="00616DE9"/>
    <w:rsid w:val="0061757F"/>
    <w:rsid w:val="006209E8"/>
    <w:rsid w:val="006326AB"/>
    <w:rsid w:val="00633FE2"/>
    <w:rsid w:val="00643649"/>
    <w:rsid w:val="006441ED"/>
    <w:rsid w:val="00645CD2"/>
    <w:rsid w:val="0065085F"/>
    <w:rsid w:val="00654361"/>
    <w:rsid w:val="0065695B"/>
    <w:rsid w:val="00657472"/>
    <w:rsid w:val="00657E48"/>
    <w:rsid w:val="00660A8B"/>
    <w:rsid w:val="006637D6"/>
    <w:rsid w:val="00664ACE"/>
    <w:rsid w:val="00673A61"/>
    <w:rsid w:val="006743AD"/>
    <w:rsid w:val="00680B22"/>
    <w:rsid w:val="0068242A"/>
    <w:rsid w:val="00682613"/>
    <w:rsid w:val="00682B57"/>
    <w:rsid w:val="006847A3"/>
    <w:rsid w:val="00690277"/>
    <w:rsid w:val="0069219F"/>
    <w:rsid w:val="00695762"/>
    <w:rsid w:val="006A17A6"/>
    <w:rsid w:val="006A30AF"/>
    <w:rsid w:val="006A3291"/>
    <w:rsid w:val="006A3629"/>
    <w:rsid w:val="006A5610"/>
    <w:rsid w:val="006A5F96"/>
    <w:rsid w:val="006A7FE2"/>
    <w:rsid w:val="006B392B"/>
    <w:rsid w:val="006B48FD"/>
    <w:rsid w:val="006B59A1"/>
    <w:rsid w:val="006C481B"/>
    <w:rsid w:val="006D18CA"/>
    <w:rsid w:val="006D3D3E"/>
    <w:rsid w:val="006D4D0B"/>
    <w:rsid w:val="006D5157"/>
    <w:rsid w:val="006D5350"/>
    <w:rsid w:val="006D6890"/>
    <w:rsid w:val="006E1A6B"/>
    <w:rsid w:val="006E4366"/>
    <w:rsid w:val="006E5E38"/>
    <w:rsid w:val="006E618B"/>
    <w:rsid w:val="006E6661"/>
    <w:rsid w:val="006F0BC4"/>
    <w:rsid w:val="006F222E"/>
    <w:rsid w:val="006F3324"/>
    <w:rsid w:val="006F49F1"/>
    <w:rsid w:val="006F4E16"/>
    <w:rsid w:val="00702CB8"/>
    <w:rsid w:val="00707885"/>
    <w:rsid w:val="0071023A"/>
    <w:rsid w:val="007107A7"/>
    <w:rsid w:val="007119D4"/>
    <w:rsid w:val="00712430"/>
    <w:rsid w:val="007138E2"/>
    <w:rsid w:val="007153BD"/>
    <w:rsid w:val="00716E65"/>
    <w:rsid w:val="007172A4"/>
    <w:rsid w:val="007244F6"/>
    <w:rsid w:val="00724928"/>
    <w:rsid w:val="00725832"/>
    <w:rsid w:val="00726D46"/>
    <w:rsid w:val="00732C90"/>
    <w:rsid w:val="007370BC"/>
    <w:rsid w:val="007375D5"/>
    <w:rsid w:val="007423B2"/>
    <w:rsid w:val="007456E2"/>
    <w:rsid w:val="00747707"/>
    <w:rsid w:val="00752E9A"/>
    <w:rsid w:val="00761029"/>
    <w:rsid w:val="0076148F"/>
    <w:rsid w:val="007656EC"/>
    <w:rsid w:val="00770B59"/>
    <w:rsid w:val="00771843"/>
    <w:rsid w:val="0077695D"/>
    <w:rsid w:val="00776ECE"/>
    <w:rsid w:val="0078171A"/>
    <w:rsid w:val="00782183"/>
    <w:rsid w:val="007831EE"/>
    <w:rsid w:val="00783B76"/>
    <w:rsid w:val="00783F35"/>
    <w:rsid w:val="007842F4"/>
    <w:rsid w:val="00787861"/>
    <w:rsid w:val="00791D68"/>
    <w:rsid w:val="0079272B"/>
    <w:rsid w:val="00793141"/>
    <w:rsid w:val="007949EF"/>
    <w:rsid w:val="0079633F"/>
    <w:rsid w:val="0079657F"/>
    <w:rsid w:val="00796C3C"/>
    <w:rsid w:val="00796CE9"/>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4E5D"/>
    <w:rsid w:val="00835D9A"/>
    <w:rsid w:val="00835EF3"/>
    <w:rsid w:val="008419E4"/>
    <w:rsid w:val="008440DE"/>
    <w:rsid w:val="00844319"/>
    <w:rsid w:val="008454F5"/>
    <w:rsid w:val="00846769"/>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0259"/>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1780"/>
    <w:rsid w:val="009A379F"/>
    <w:rsid w:val="009A3C04"/>
    <w:rsid w:val="009A768F"/>
    <w:rsid w:val="009A7921"/>
    <w:rsid w:val="009B2BE6"/>
    <w:rsid w:val="009B4050"/>
    <w:rsid w:val="009B4881"/>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E7203"/>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5BBC"/>
    <w:rsid w:val="00A37956"/>
    <w:rsid w:val="00A40344"/>
    <w:rsid w:val="00A413E0"/>
    <w:rsid w:val="00A433AA"/>
    <w:rsid w:val="00A447B6"/>
    <w:rsid w:val="00A457AA"/>
    <w:rsid w:val="00A46196"/>
    <w:rsid w:val="00A47168"/>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1D9E"/>
    <w:rsid w:val="00AC3144"/>
    <w:rsid w:val="00AC52D7"/>
    <w:rsid w:val="00AC7369"/>
    <w:rsid w:val="00AD1095"/>
    <w:rsid w:val="00AD5E29"/>
    <w:rsid w:val="00AD6766"/>
    <w:rsid w:val="00AE7F5D"/>
    <w:rsid w:val="00AF0B72"/>
    <w:rsid w:val="00AF1C0F"/>
    <w:rsid w:val="00AF35C2"/>
    <w:rsid w:val="00AF3DAC"/>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61DDF"/>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137A"/>
    <w:rsid w:val="00BE0557"/>
    <w:rsid w:val="00BE188E"/>
    <w:rsid w:val="00BE223D"/>
    <w:rsid w:val="00BE34AD"/>
    <w:rsid w:val="00BE4274"/>
    <w:rsid w:val="00BE6599"/>
    <w:rsid w:val="00BE77D0"/>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827"/>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1476"/>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3F0"/>
    <w:rsid w:val="00D515B8"/>
    <w:rsid w:val="00D51F83"/>
    <w:rsid w:val="00D52344"/>
    <w:rsid w:val="00D52B90"/>
    <w:rsid w:val="00D52DB1"/>
    <w:rsid w:val="00D54869"/>
    <w:rsid w:val="00D67AFE"/>
    <w:rsid w:val="00D71BF7"/>
    <w:rsid w:val="00D72C5E"/>
    <w:rsid w:val="00D74BD3"/>
    <w:rsid w:val="00D77200"/>
    <w:rsid w:val="00D81724"/>
    <w:rsid w:val="00D8210F"/>
    <w:rsid w:val="00D82717"/>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396B"/>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D64B4"/>
    <w:rsid w:val="00EE082D"/>
    <w:rsid w:val="00EE2B02"/>
    <w:rsid w:val="00EE31B3"/>
    <w:rsid w:val="00EE517A"/>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7CA"/>
    <w:rsid w:val="00F519FB"/>
    <w:rsid w:val="00F54E2D"/>
    <w:rsid w:val="00F57119"/>
    <w:rsid w:val="00F60CB5"/>
    <w:rsid w:val="00F70635"/>
    <w:rsid w:val="00F738B9"/>
    <w:rsid w:val="00F74241"/>
    <w:rsid w:val="00F75D66"/>
    <w:rsid w:val="00F77867"/>
    <w:rsid w:val="00F77A11"/>
    <w:rsid w:val="00F77AD1"/>
    <w:rsid w:val="00F804D1"/>
    <w:rsid w:val="00F8766A"/>
    <w:rsid w:val="00F92391"/>
    <w:rsid w:val="00FA0267"/>
    <w:rsid w:val="00FA1FBB"/>
    <w:rsid w:val="00FB3AD9"/>
    <w:rsid w:val="00FC08B7"/>
    <w:rsid w:val="00FC0AB7"/>
    <w:rsid w:val="00FC2270"/>
    <w:rsid w:val="00FC33B7"/>
    <w:rsid w:val="00FC5035"/>
    <w:rsid w:val="00FC6A8F"/>
    <w:rsid w:val="00FD413B"/>
    <w:rsid w:val="00FD4E3A"/>
    <w:rsid w:val="00FD54FE"/>
    <w:rsid w:val="00FD6260"/>
    <w:rsid w:val="00FD70D0"/>
    <w:rsid w:val="00FE7D95"/>
    <w:rsid w:val="00FF11A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266474380">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95623786">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890190794">
      <w:bodyDiv w:val="1"/>
      <w:marLeft w:val="0"/>
      <w:marRight w:val="0"/>
      <w:marTop w:val="0"/>
      <w:marBottom w:val="0"/>
      <w:divBdr>
        <w:top w:val="none" w:sz="0" w:space="0" w:color="auto"/>
        <w:left w:val="none" w:sz="0" w:space="0" w:color="auto"/>
        <w:bottom w:val="none" w:sz="0" w:space="0" w:color="auto"/>
        <w:right w:val="none" w:sz="0" w:space="0" w:color="auto"/>
      </w:divBdr>
    </w:div>
    <w:div w:id="1898736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25EDA308-1469-476C-8858-031BFCD6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2729</Words>
  <Characters>15560</Characters>
  <Application>Microsoft Office Word</Application>
  <DocSecurity>0</DocSecurity>
  <Lines>129</Lines>
  <Paragraphs>36</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18253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2012-10-25T07:54:00Z</cp:lastPrinted>
  <dcterms:created xsi:type="dcterms:W3CDTF">2012-11-20T10:54:00Z</dcterms:created>
  <dcterms:modified xsi:type="dcterms:W3CDTF">2012-11-27T13:18:00Z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