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073390" w:rsidRDefault="00AC24F7" w:rsidP="000D3299">
      <w:pPr>
        <w:spacing w:line="240" w:lineRule="auto"/>
        <w:ind w:left="-851"/>
        <w:jc w:val="center"/>
        <w:rPr>
          <w:rFonts w:ascii="Arial" w:hAnsi="Arial" w:cs="Arial"/>
          <w:sz w:val="40"/>
          <w:szCs w:val="40"/>
          <w:lang w:val="en-US"/>
        </w:rPr>
      </w:pPr>
      <w:r w:rsidRPr="00073390">
        <w:rPr>
          <w:rFonts w:ascii="Arial" w:hAnsi="Arial" w:cs="Arial"/>
          <w:sz w:val="40"/>
          <w:szCs w:val="40"/>
          <w:lang w:val="en-US"/>
        </w:rPr>
        <w:t>Slovak Republic</w:t>
      </w:r>
      <w:r w:rsidR="00131060">
        <w:rPr>
          <w:rFonts w:ascii="Arial" w:hAnsi="Arial" w:cs="Arial"/>
          <w:sz w:val="40"/>
          <w:szCs w:val="40"/>
          <w:lang w:val="en-US"/>
        </w:rPr>
        <w:t xml:space="preserve"> – </w:t>
      </w:r>
      <w:r w:rsidR="00131060" w:rsidRPr="00073390">
        <w:rPr>
          <w:rFonts w:ascii="Arial" w:hAnsi="Arial" w:cs="Arial"/>
          <w:sz w:val="40"/>
          <w:szCs w:val="40"/>
          <w:lang w:val="en-US"/>
        </w:rPr>
        <w:t>Czech Republic</w:t>
      </w:r>
    </w:p>
    <w:p w:rsidR="00E613A3" w:rsidRDefault="00FF3E1D"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5939790" cy="3987290"/>
            <wp:effectExtent l="19050" t="0" r="381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39790" cy="398729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073390" w:rsidRDefault="00073390" w:rsidP="00073390">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073390" w:rsidRDefault="00073390" w:rsidP="00073390">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E9293F" w:rsidRPr="0085195F" w:rsidRDefault="000A647A" w:rsidP="00E9293F">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E9293F" w:rsidRPr="0085195F">
        <w:t>This is intended as an electronic publication so map quality is generally high to allow users to zoom into specific territories.</w:t>
      </w:r>
    </w:p>
    <w:p w:rsidR="000A647A" w:rsidRDefault="00E9293F" w:rsidP="00E9293F">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745DBA" w:rsidRDefault="00745DBA" w:rsidP="00745DBA">
      <w:r>
        <w:t>In the following the traffic light for each indicator represents how your programme territory compares to wider European and national medians where green = your programme area performs better for that indicator, yel</w:t>
      </w:r>
      <w:r w:rsidR="00E9293F">
        <w:t>low = similar, and red = worse.</w:t>
      </w:r>
    </w:p>
    <w:p w:rsidR="00F61F80" w:rsidRDefault="00745DBA" w:rsidP="00F61F80">
      <w:r>
        <w:t xml:space="preserve">In creating the traffic </w:t>
      </w:r>
      <w:r w:rsidR="00F61F80">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E579F6" w:rsidRPr="00973E76" w:rsidRDefault="00E579F6" w:rsidP="00E579F6">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Heading3"/>
      </w:pPr>
      <w:r w:rsidRPr="003756E3">
        <w:t>Smart growth</w:t>
      </w:r>
      <w:r w:rsidRPr="00337872">
        <w:t xml:space="preserve"> </w:t>
      </w:r>
    </w:p>
    <w:p w:rsidR="000F1916" w:rsidRDefault="000D7CC4" w:rsidP="000F1916">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0F1916" w:rsidRDefault="000F1916" w:rsidP="000F1916">
      <w:r>
        <w:rPr>
          <w:noProof/>
          <w:lang w:val="en-US"/>
        </w:rPr>
        <w:drawing>
          <wp:anchor distT="0" distB="0" distL="114300" distR="114300" simplePos="0" relativeHeight="251671040" behindDoc="1" locked="0" layoutInCell="1" allowOverlap="1">
            <wp:simplePos x="0" y="0"/>
            <wp:positionH relativeFrom="column">
              <wp:posOffset>4445</wp:posOffset>
            </wp:positionH>
            <wp:positionV relativeFrom="paragraph">
              <wp:posOffset>26035</wp:posOffset>
            </wp:positionV>
            <wp:extent cx="5273675" cy="2689860"/>
            <wp:effectExtent l="19050" t="0" r="3175" b="0"/>
            <wp:wrapTight wrapText="bothSides">
              <wp:wrapPolygon edited="0">
                <wp:start x="-78" y="0"/>
                <wp:lineTo x="-78" y="21416"/>
                <wp:lineTo x="21613" y="21416"/>
                <wp:lineTo x="21613" y="0"/>
                <wp:lineTo x="-78" y="0"/>
              </wp:wrapPolygon>
            </wp:wrapTight>
            <wp:docPr id="5" name="Bild 1" descr="P:\LU_2011_ESPON_TerrEvi_100269\03_Project development\WorkinProgress_FactSheets\Factsheets_CBC_neu\TL_CBC3\Czech Rep.-Slovak Re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3\Czech Rep.-Slovak Rep. 1.png"/>
                    <pic:cNvPicPr>
                      <a:picLocks noChangeAspect="1" noChangeArrowheads="1"/>
                    </pic:cNvPicPr>
                  </pic:nvPicPr>
                  <pic:blipFill>
                    <a:blip r:embed="rId15" cstate="print"/>
                    <a:srcRect/>
                    <a:stretch>
                      <a:fillRect/>
                    </a:stretch>
                  </pic:blipFill>
                  <pic:spPr bwMode="auto">
                    <a:xfrm>
                      <a:off x="0" y="0"/>
                      <a:ext cx="5273675" cy="2689860"/>
                    </a:xfrm>
                    <a:prstGeom prst="rect">
                      <a:avLst/>
                    </a:prstGeom>
                    <a:noFill/>
                    <a:ln w="9525">
                      <a:noFill/>
                      <a:miter lim="800000"/>
                      <a:headEnd/>
                      <a:tailEnd/>
                    </a:ln>
                  </pic:spPr>
                </pic:pic>
              </a:graphicData>
            </a:graphic>
          </wp:anchor>
        </w:drawing>
      </w:r>
    </w:p>
    <w:p w:rsidR="009B488B" w:rsidRDefault="009B488B" w:rsidP="000F1916">
      <w:r w:rsidRPr="00EB6918">
        <w:t xml:space="preserve">According to all indicators reported above, the </w:t>
      </w:r>
      <w:r w:rsidR="00BB0091">
        <w:t>Slovak Republic – Czech</w:t>
      </w:r>
      <w:r w:rsidRPr="00A46B0F">
        <w:t xml:space="preserve"> Republic </w:t>
      </w:r>
      <w:r w:rsidRPr="00EB6918">
        <w:t xml:space="preserve">CBC area performs at a lower level </w:t>
      </w:r>
      <w:r>
        <w:t>than</w:t>
      </w:r>
      <w:r w:rsidRPr="00EB6918">
        <w:t xml:space="preserve"> the EU27+4 space and all CBC </w:t>
      </w:r>
      <w:r>
        <w:t>areas</w:t>
      </w:r>
      <w:r w:rsidRPr="00EB6918">
        <w:t xml:space="preserve">. </w:t>
      </w:r>
    </w:p>
    <w:p w:rsidR="009B488B" w:rsidRDefault="009B488B" w:rsidP="009B488B">
      <w:pPr>
        <w:spacing w:before="120"/>
      </w:pPr>
      <w:r w:rsidRPr="00EB6918">
        <w:lastRenderedPageBreak/>
        <w:t>Considering the objective of R&amp;D expenditure</w:t>
      </w:r>
      <w:r>
        <w:t xml:space="preserve"> as a</w:t>
      </w:r>
      <w:r w:rsidRPr="00EB6918">
        <w:t xml:space="preserve"> percentage of GDP - one of the five headline targets in the Europe 2020 Strategy - the CBC area is st</w:t>
      </w:r>
      <w:r>
        <w:t xml:space="preserve">ill lagging behind </w:t>
      </w:r>
      <w:r w:rsidRPr="00EB6918">
        <w:t>the EU27+4 space and all CBC. Moreo</w:t>
      </w:r>
      <w:r>
        <w:t>ver, the CBC area is characteris</w:t>
      </w:r>
      <w:r w:rsidRPr="00EB6918">
        <w:t xml:space="preserve">ed by a high level of internal disparity and performs worse than </w:t>
      </w:r>
      <w:r>
        <w:t>the Czech Republic</w:t>
      </w:r>
      <w:r w:rsidRPr="00EB6918">
        <w:t xml:space="preserve"> </w:t>
      </w:r>
      <w:r>
        <w:t>but</w:t>
      </w:r>
      <w:r w:rsidRPr="00EB6918">
        <w:t xml:space="preserve"> </w:t>
      </w:r>
      <w:r>
        <w:t xml:space="preserve">better than the Slovak Republic. </w:t>
      </w:r>
      <w:r w:rsidRPr="00EB6918">
        <w:t>Concerning the ratio of employment in knowledge-intensive service</w:t>
      </w:r>
      <w:r>
        <w:t>s</w:t>
      </w:r>
      <w:r w:rsidRPr="00EB6918">
        <w:t xml:space="preserve"> to the total employment in 2010, the CBC area has lower values than bot</w:t>
      </w:r>
      <w:r>
        <w:t>h the EU27+4 space, all CBCs and the Slovak Republic but</w:t>
      </w:r>
      <w:r w:rsidRPr="00EB6918">
        <w:t xml:space="preserve"> </w:t>
      </w:r>
      <w:r>
        <w:t xml:space="preserve">values </w:t>
      </w:r>
      <w:r w:rsidRPr="00EB6918">
        <w:t xml:space="preserve">similar to </w:t>
      </w:r>
      <w:r>
        <w:t>Czech Republic</w:t>
      </w:r>
      <w:r w:rsidRPr="00EB6918">
        <w:t>. The distribution inside the CBC results in a low level of internal disparity.</w:t>
      </w:r>
      <w:r>
        <w:t xml:space="preserve"> Exactly the same observations can be made in terms </w:t>
      </w:r>
      <w:r w:rsidRPr="00537E00">
        <w:t>of percentage of individuals regularly using internet in 2011</w:t>
      </w:r>
      <w:r>
        <w:t>.</w:t>
      </w:r>
    </w:p>
    <w:p w:rsidR="00886CED" w:rsidRDefault="00886CED" w:rsidP="00886CED">
      <w:r>
        <w:t xml:space="preserve">According to the classification of the KIT project, MAP 1 identifies two territorial patterns of innovation, which are moreover keeping up with national borders: </w:t>
      </w:r>
    </w:p>
    <w:p w:rsidR="00886CED" w:rsidRPr="005C09E9" w:rsidRDefault="00886CED" w:rsidP="00886CED">
      <w:pPr>
        <w:pStyle w:val="ListParagraph"/>
        <w:numPr>
          <w:ilvl w:val="0"/>
          <w:numId w:val="14"/>
        </w:numPr>
        <w:spacing w:line="240" w:lineRule="atLeast"/>
        <w:rPr>
          <w:szCs w:val="20"/>
        </w:rPr>
      </w:pPr>
      <w:r w:rsidRPr="001A612A">
        <w:rPr>
          <w:rFonts w:cstheme="minorHAnsi"/>
          <w:szCs w:val="20"/>
        </w:rPr>
        <w:t>‘Creative imitation area’,</w:t>
      </w:r>
      <w:r>
        <w:rPr>
          <w:rFonts w:cstheme="minorHAnsi"/>
          <w:szCs w:val="20"/>
        </w:rPr>
        <w:t xml:space="preserve"> in the</w:t>
      </w:r>
      <w:r w:rsidRPr="001A612A">
        <w:rPr>
          <w:rFonts w:cstheme="minorHAnsi"/>
          <w:szCs w:val="20"/>
        </w:rPr>
        <w:t xml:space="preserve"> </w:t>
      </w:r>
      <w:r>
        <w:rPr>
          <w:rFonts w:cstheme="minorHAnsi"/>
          <w:szCs w:val="20"/>
        </w:rPr>
        <w:t xml:space="preserve">Slovakian part of the CBC area. It is associated </w:t>
      </w:r>
      <w:r w:rsidRPr="001A612A">
        <w:rPr>
          <w:rFonts w:cstheme="minorHAnsi"/>
          <w:szCs w:val="20"/>
        </w:rPr>
        <w:t>to a low knowledge and innovation intensity, entrepreneurship, creativity, a high attractiveness and a high innovation potential</w:t>
      </w:r>
      <w:r>
        <w:rPr>
          <w:rFonts w:cstheme="minorHAnsi"/>
          <w:szCs w:val="20"/>
        </w:rPr>
        <w:t>;</w:t>
      </w:r>
    </w:p>
    <w:p w:rsidR="00886CED" w:rsidRDefault="00886CED" w:rsidP="00886CED">
      <w:pPr>
        <w:pStyle w:val="ListParagraph"/>
        <w:numPr>
          <w:ilvl w:val="0"/>
          <w:numId w:val="25"/>
        </w:numPr>
        <w:spacing w:line="240" w:lineRule="atLeast"/>
      </w:pPr>
      <w:r w:rsidRPr="00090A61">
        <w:rPr>
          <w:rFonts w:cstheme="minorHAnsi"/>
          <w:szCs w:val="20"/>
        </w:rPr>
        <w:t xml:space="preserve">‘Smart technological application area’, </w:t>
      </w:r>
      <w:r>
        <w:rPr>
          <w:rFonts w:cstheme="minorHAnsi"/>
          <w:szCs w:val="20"/>
        </w:rPr>
        <w:t>in the Czech part of the CBC area</w:t>
      </w:r>
      <w:r w:rsidRPr="00090A61">
        <w:rPr>
          <w:rFonts w:cstheme="minorHAnsi"/>
          <w:szCs w:val="20"/>
        </w:rPr>
        <w:t>. It is defined by a high product innovation level, with a limited degree of local applied science and R&amp;D endowment, and a high creativity which allows translating external basic science and applied science knowledge into innovation.</w:t>
      </w:r>
    </w:p>
    <w:p w:rsidR="005A5FC4" w:rsidRDefault="00F61F80" w:rsidP="00F61F80">
      <w:pPr>
        <w:spacing w:after="0" w:line="240" w:lineRule="auto"/>
        <w:jc w:val="left"/>
      </w:pPr>
      <w:r>
        <w:rPr>
          <w:rFonts w:cstheme="minorHAnsi"/>
          <w:szCs w:val="20"/>
        </w:rPr>
        <w:br w:type="page"/>
      </w:r>
    </w:p>
    <w:p w:rsidR="00A06AEA" w:rsidRPr="004C764D" w:rsidRDefault="00337872" w:rsidP="00A06AEA">
      <w:pPr>
        <w:rPr>
          <w:b/>
          <w:lang w:val="en-US"/>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AC24F7">
        <w:rPr>
          <w:b/>
        </w:rPr>
        <w:t>Slovak Republic</w:t>
      </w:r>
      <w:r w:rsidR="00131060">
        <w:rPr>
          <w:b/>
        </w:rPr>
        <w:t xml:space="preserve"> - Czech Republic</w:t>
      </w:r>
    </w:p>
    <w:p w:rsidR="008A3B96" w:rsidRDefault="008A3B96" w:rsidP="008A3B96"/>
    <w:p w:rsidR="008A3B96" w:rsidRDefault="00B6066F" w:rsidP="008A3B96">
      <w:pPr>
        <w:spacing w:after="0" w:line="240" w:lineRule="auto"/>
      </w:pPr>
      <w:r w:rsidRPr="00B6066F">
        <w:rPr>
          <w:noProof/>
          <w:lang w:val="de-DE" w:eastAsia="de-DE"/>
        </w:rPr>
        <w:pict>
          <v:oval id="_x0000_s1029" style="position:absolute;left:0;text-align:left;margin-left:218.1pt;margin-top:221.8pt;width:40.4pt;height:39.55pt;z-index:251662848" filled="f" strokecolor="#0070c0" strokeweight="2pt"/>
        </w:pict>
      </w:r>
      <w:r w:rsidR="00D017A7">
        <w:rPr>
          <w:noProof/>
          <w:lang w:val="en-US"/>
        </w:rPr>
        <w:drawing>
          <wp:inline distT="0" distB="0" distL="0" distR="0">
            <wp:extent cx="5278755" cy="6284584"/>
            <wp:effectExtent l="19050" t="0" r="0" b="0"/>
            <wp:docPr id="1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5B6FFD">
        <w:lastRenderedPageBreak/>
        <w:t>Sustainable growth</w:t>
      </w:r>
      <w:r w:rsidRPr="00337872">
        <w:t xml:space="preserve"> </w:t>
      </w:r>
    </w:p>
    <w:p w:rsidR="004F26B8" w:rsidRDefault="004F26B8" w:rsidP="00C00C96">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276DA6">
        <w:t xml:space="preserve">In the framework of the </w:t>
      </w:r>
      <w:r w:rsidR="00C52AD9">
        <w:t>Europe</w:t>
      </w:r>
      <w:r w:rsidR="00276DA6">
        <w:t xml:space="preserve"> 2020 Strategy it means </w:t>
      </w:r>
      <w:r w:rsidR="006D6890">
        <w:t>focus on competitiveness, resource efficiency, climate change and biodiversity</w:t>
      </w:r>
      <w:r w:rsidR="00276DA6">
        <w:t>.</w:t>
      </w:r>
    </w:p>
    <w:p w:rsidR="005D06A5" w:rsidRDefault="000F1916" w:rsidP="00C00C96">
      <w:r>
        <w:rPr>
          <w:noProof/>
          <w:lang w:val="en-US"/>
        </w:rPr>
        <w:drawing>
          <wp:anchor distT="0" distB="0" distL="114300" distR="114300" simplePos="0" relativeHeight="251672064" behindDoc="1" locked="0" layoutInCell="1" allowOverlap="1">
            <wp:simplePos x="0" y="0"/>
            <wp:positionH relativeFrom="column">
              <wp:posOffset>3175</wp:posOffset>
            </wp:positionH>
            <wp:positionV relativeFrom="paragraph">
              <wp:posOffset>10160</wp:posOffset>
            </wp:positionV>
            <wp:extent cx="5273675" cy="2987675"/>
            <wp:effectExtent l="19050" t="0" r="3175" b="0"/>
            <wp:wrapTight wrapText="bothSides">
              <wp:wrapPolygon edited="0">
                <wp:start x="-78" y="0"/>
                <wp:lineTo x="-78" y="21485"/>
                <wp:lineTo x="21613" y="21485"/>
                <wp:lineTo x="21613" y="0"/>
                <wp:lineTo x="-78" y="0"/>
              </wp:wrapPolygon>
            </wp:wrapTight>
            <wp:docPr id="8" name="Bild 2" descr="P:\LU_2011_ESPON_TerrEvi_100269\03_Project development\WorkinProgress_FactSheets\Factsheets_CBC_neu\TL_CBC3\Czech Rep.-Slovak Re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3\Czech Rep.-Slovak Rep. 2.png"/>
                    <pic:cNvPicPr>
                      <a:picLocks noChangeAspect="1" noChangeArrowheads="1"/>
                    </pic:cNvPicPr>
                  </pic:nvPicPr>
                  <pic:blipFill>
                    <a:blip r:embed="rId17" cstate="print"/>
                    <a:srcRect/>
                    <a:stretch>
                      <a:fillRect/>
                    </a:stretch>
                  </pic:blipFill>
                  <pic:spPr bwMode="auto">
                    <a:xfrm>
                      <a:off x="0" y="0"/>
                      <a:ext cx="5273675" cy="2987675"/>
                    </a:xfrm>
                    <a:prstGeom prst="rect">
                      <a:avLst/>
                    </a:prstGeom>
                    <a:noFill/>
                    <a:ln w="9525">
                      <a:noFill/>
                      <a:miter lim="800000"/>
                      <a:headEnd/>
                      <a:tailEnd/>
                    </a:ln>
                  </pic:spPr>
                </pic:pic>
              </a:graphicData>
            </a:graphic>
          </wp:anchor>
        </w:drawing>
      </w:r>
      <w:r w:rsidR="005B6FFD">
        <w:t xml:space="preserve">The potential for using </w:t>
      </w:r>
      <w:r w:rsidR="00BC6C0D">
        <w:t>wind energy</w:t>
      </w:r>
      <w:r w:rsidR="005B6FFD">
        <w:t xml:space="preserve"> in the </w:t>
      </w:r>
      <w:r w:rsidR="00C52AD9">
        <w:t>Slovak Republic – Czech</w:t>
      </w:r>
      <w:r w:rsidR="00C52AD9" w:rsidRPr="00A46B0F">
        <w:t xml:space="preserve"> Republic </w:t>
      </w:r>
      <w:r w:rsidR="005B6FFD">
        <w:t xml:space="preserve">CBC area is slightly lower than in the EU-27+4, all CBC regions, the Czech Republic or Slovakia. The level of ozone concentration </w:t>
      </w:r>
      <w:r w:rsidR="0022131B">
        <w:t xml:space="preserve">is slightly lower than the EU-27+4 median; it is exactly at the same level than the median of other CBC areas, and not much higher than the relevant national values. The </w:t>
      </w:r>
      <w:r w:rsidR="005B6FFD">
        <w:t xml:space="preserve">level of potential vulnerability to climate change is also </w:t>
      </w:r>
      <w:r w:rsidR="0022131B">
        <w:t xml:space="preserve">similar to the EU medians and the median of Slovakia, however, the </w:t>
      </w:r>
      <w:r w:rsidR="00083CA6">
        <w:t>cross-border area</w:t>
      </w:r>
      <w:r w:rsidR="0022131B">
        <w:t xml:space="preserve"> is potentially more vulnerable</w:t>
      </w:r>
      <w:r w:rsidR="00083CA6">
        <w:t xml:space="preserve"> to climate change</w:t>
      </w:r>
      <w:r w:rsidR="0022131B">
        <w:t xml:space="preserve"> than the Czech Republic</w:t>
      </w:r>
      <w:r w:rsidR="005B6FFD">
        <w:t>.</w:t>
      </w:r>
      <w:r w:rsidR="0022131B">
        <w:t xml:space="preserve"> </w:t>
      </w:r>
      <w:r w:rsidR="00A051E6">
        <w:t xml:space="preserve"> </w:t>
      </w:r>
    </w:p>
    <w:p w:rsidR="005A5FC4" w:rsidRDefault="0022131B" w:rsidP="00C00C96">
      <w:r>
        <w:t>D</w:t>
      </w:r>
      <w:r w:rsidR="00901928">
        <w:t>isparities in the CBC area are high according to all three sustainable growth indicators. NUTS3 regions of the programme are characterised by a combined adaptive capacity to climate change that is lower</w:t>
      </w:r>
      <w:r w:rsidR="00083CA6">
        <w:t>,</w:t>
      </w:r>
      <w:r w:rsidR="00901928">
        <w:t xml:space="preserve"> but not considerably different from the EU-27+4 or the all CBC medians (BOX PLOT 1). Within the national contexts the NUTS3 </w:t>
      </w:r>
      <w:r w:rsidR="00083CA6">
        <w:t>region</w:t>
      </w:r>
      <w:r w:rsidR="00901928">
        <w:t xml:space="preserve"> of Jihomoravský stands out having </w:t>
      </w:r>
      <w:r w:rsidR="00083CA6">
        <w:t>substantially</w:t>
      </w:r>
      <w:r w:rsidR="00901928">
        <w:t xml:space="preserve"> higher adaptive capacity than the national medians. </w:t>
      </w:r>
      <w:r w:rsidR="00084B21">
        <w:t>According to MAP 2 Directive 11 has no territorial impact on fossil fuel consumption on either side of the border.</w:t>
      </w:r>
    </w:p>
    <w:p w:rsidR="005A5FC4" w:rsidRDefault="005A5FC4" w:rsidP="00C00C96"/>
    <w:p w:rsidR="00041A22" w:rsidRDefault="00041A22">
      <w:pPr>
        <w:spacing w:after="0" w:line="240" w:lineRule="auto"/>
        <w:jc w:val="left"/>
      </w:pPr>
      <w:r>
        <w:br w:type="page"/>
      </w:r>
    </w:p>
    <w:p w:rsidR="00A06AEA" w:rsidRPr="00C33A99" w:rsidRDefault="009F77A8" w:rsidP="00A06AEA">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131060">
        <w:rPr>
          <w:b/>
        </w:rPr>
        <w:t>Slovak Republic - Czech Republic</w:t>
      </w:r>
    </w:p>
    <w:p w:rsidR="00D26713" w:rsidRDefault="00D26713" w:rsidP="00D26713">
      <w:pPr>
        <w:spacing w:after="0" w:line="240" w:lineRule="auto"/>
        <w:rPr>
          <w:noProof/>
          <w:lang w:eastAsia="en-GB"/>
        </w:rPr>
      </w:pPr>
    </w:p>
    <w:p w:rsidR="00D26713" w:rsidRDefault="00B6066F" w:rsidP="00D26713">
      <w:pPr>
        <w:spacing w:after="0" w:line="240" w:lineRule="auto"/>
        <w:rPr>
          <w:noProof/>
          <w:lang w:eastAsia="en-GB"/>
        </w:rPr>
      </w:pPr>
      <w:r w:rsidRPr="00B6066F">
        <w:rPr>
          <w:noProof/>
          <w:lang w:val="de-DE" w:eastAsia="de-DE"/>
        </w:rPr>
        <w:pict>
          <v:oval id="_x0000_s1030" style="position:absolute;left:0;text-align:left;margin-left:235.85pt;margin-top:198.1pt;width:34.8pt;height:34.05pt;z-index:251663872" filled="f" strokecolor="#0070c0" strokeweight="2pt"/>
        </w:pict>
      </w:r>
      <w:r w:rsidR="00D017A7">
        <w:rPr>
          <w:noProof/>
          <w:lang w:val="en-US"/>
        </w:rPr>
        <w:drawing>
          <wp:inline distT="0" distB="0" distL="0" distR="0">
            <wp:extent cx="5278755" cy="5815626"/>
            <wp:effectExtent l="19050" t="0" r="0" b="0"/>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340D55" w:rsidRDefault="00340D55" w:rsidP="00340D55">
      <w:pPr>
        <w:rPr>
          <w:b/>
        </w:rPr>
      </w:pPr>
      <w:r w:rsidRPr="00E522F9">
        <w:rPr>
          <w:b/>
        </w:rPr>
        <w:lastRenderedPageBreak/>
        <w:t xml:space="preserve">BOX-PLOT 1 – Combined adaptive capacity to climate change (ESPON CLIMATE project) for the CBC </w:t>
      </w:r>
      <w:r w:rsidR="00131060">
        <w:rPr>
          <w:b/>
        </w:rPr>
        <w:t>Slovak Republic - Czech Republic</w:t>
      </w:r>
    </w:p>
    <w:p w:rsidR="00E579F6" w:rsidRPr="00021CAB" w:rsidRDefault="00E579F6" w:rsidP="00E579F6">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40D55" w:rsidRDefault="00340D55" w:rsidP="00340D55">
      <w:pPr>
        <w:spacing w:after="0" w:line="240" w:lineRule="auto"/>
        <w:rPr>
          <w:noProof/>
          <w:lang w:eastAsia="en-GB"/>
        </w:rPr>
      </w:pPr>
      <w:r>
        <w:rPr>
          <w:noProof/>
          <w:lang w:val="en-US"/>
        </w:rPr>
        <w:drawing>
          <wp:inline distT="0" distB="0" distL="0" distR="0">
            <wp:extent cx="5278755" cy="4220469"/>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8755" cy="4220469"/>
                    </a:xfrm>
                    <a:prstGeom prst="rect">
                      <a:avLst/>
                    </a:prstGeom>
                    <a:noFill/>
                    <a:ln w="9525">
                      <a:noFill/>
                      <a:miter lim="800000"/>
                      <a:headEnd/>
                      <a:tailEnd/>
                    </a:ln>
                  </pic:spPr>
                </pic:pic>
              </a:graphicData>
            </a:graphic>
          </wp:inline>
        </w:drawing>
      </w:r>
    </w:p>
    <w:p w:rsidR="00340D55" w:rsidRPr="006F0BC4" w:rsidRDefault="00340D55" w:rsidP="00340D55">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340D55" w:rsidRPr="006F0BC4" w:rsidRDefault="00340D55" w:rsidP="00340D55">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340D55" w:rsidRPr="006F0BC4" w:rsidRDefault="00340D55" w:rsidP="00340D55">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340D55" w:rsidRPr="006F0BC4" w:rsidRDefault="00340D55" w:rsidP="00340D55">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340D55" w:rsidRDefault="00340D55" w:rsidP="00340D55">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A45F1B">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5A5FC4" w:rsidRDefault="000F1916" w:rsidP="00B135A2">
      <w:r>
        <w:rPr>
          <w:noProof/>
          <w:lang w:val="en-US"/>
        </w:rPr>
        <w:drawing>
          <wp:anchor distT="0" distB="0" distL="114300" distR="114300" simplePos="0" relativeHeight="251673088" behindDoc="1" locked="0" layoutInCell="1" allowOverlap="1">
            <wp:simplePos x="0" y="0"/>
            <wp:positionH relativeFrom="column">
              <wp:posOffset>15240</wp:posOffset>
            </wp:positionH>
            <wp:positionV relativeFrom="paragraph">
              <wp:posOffset>34925</wp:posOffset>
            </wp:positionV>
            <wp:extent cx="5273675" cy="2562225"/>
            <wp:effectExtent l="19050" t="0" r="3175" b="0"/>
            <wp:wrapTight wrapText="bothSides">
              <wp:wrapPolygon edited="0">
                <wp:start x="-78" y="0"/>
                <wp:lineTo x="-78" y="21520"/>
                <wp:lineTo x="21613" y="21520"/>
                <wp:lineTo x="21613" y="0"/>
                <wp:lineTo x="-78" y="0"/>
              </wp:wrapPolygon>
            </wp:wrapTight>
            <wp:docPr id="9" name="Bild 3" descr="P:\LU_2011_ESPON_TerrEvi_100269\03_Project development\WorkinProgress_FactSheets\Factsheets_CBC_neu\TL_CBC3\Czech Rep.-Slovak Re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3\Czech Rep.-Slovak Rep. 3.png"/>
                    <pic:cNvPicPr>
                      <a:picLocks noChangeAspect="1" noChangeArrowheads="1"/>
                    </pic:cNvPicPr>
                  </pic:nvPicPr>
                  <pic:blipFill>
                    <a:blip r:embed="rId20" cstate="print"/>
                    <a:srcRect/>
                    <a:stretch>
                      <a:fillRect/>
                    </a:stretch>
                  </pic:blipFill>
                  <pic:spPr bwMode="auto">
                    <a:xfrm>
                      <a:off x="0" y="0"/>
                      <a:ext cx="5273675" cy="2562225"/>
                    </a:xfrm>
                    <a:prstGeom prst="rect">
                      <a:avLst/>
                    </a:prstGeom>
                    <a:noFill/>
                    <a:ln w="9525">
                      <a:noFill/>
                      <a:miter lim="800000"/>
                      <a:headEnd/>
                      <a:tailEnd/>
                    </a:ln>
                  </pic:spPr>
                </pic:pic>
              </a:graphicData>
            </a:graphic>
          </wp:anchor>
        </w:drawing>
      </w:r>
    </w:p>
    <w:p w:rsidR="007963F9" w:rsidRDefault="00A45F1B" w:rsidP="007963F9">
      <w:pPr>
        <w:widowControl w:val="0"/>
        <w:autoSpaceDE w:val="0"/>
        <w:autoSpaceDN w:val="0"/>
        <w:adjustRightInd w:val="0"/>
        <w:spacing w:after="0" w:line="240" w:lineRule="auto"/>
        <w:rPr>
          <w:noProof/>
          <w:lang w:eastAsia="en-GB"/>
        </w:rPr>
      </w:pPr>
      <w:r>
        <w:rPr>
          <w:noProof/>
          <w:lang w:eastAsia="en-GB"/>
        </w:rPr>
        <w:t>Long-term unempl</w:t>
      </w:r>
      <w:r w:rsidR="008D2779">
        <w:rPr>
          <w:noProof/>
          <w:lang w:eastAsia="en-GB"/>
        </w:rPr>
        <w:t>oyment rate in the CBC area is</w:t>
      </w:r>
      <w:r>
        <w:rPr>
          <w:noProof/>
          <w:lang w:eastAsia="en-GB"/>
        </w:rPr>
        <w:t xml:space="preserve"> higher than the EU-27+4, all CBC areas or the Czech Republic medians, while it is much lower than the same indicator of Slovakia. The employment situation is more favourable in the CBC area </w:t>
      </w:r>
      <w:r w:rsidR="008D2779">
        <w:rPr>
          <w:noProof/>
          <w:lang w:eastAsia="en-GB"/>
        </w:rPr>
        <w:t xml:space="preserve">than in the EU-27+4 or all CBC areas </w:t>
      </w:r>
      <w:r>
        <w:rPr>
          <w:noProof/>
          <w:lang w:eastAsia="en-GB"/>
        </w:rPr>
        <w:t xml:space="preserve">when </w:t>
      </w:r>
      <w:r w:rsidR="008D2779">
        <w:rPr>
          <w:noProof/>
          <w:lang w:eastAsia="en-GB"/>
        </w:rPr>
        <w:t>we consider</w:t>
      </w:r>
      <w:r>
        <w:rPr>
          <w:noProof/>
          <w:lang w:eastAsia="en-GB"/>
        </w:rPr>
        <w:t xml:space="preserve"> the rate of people at risk of poverty and persons aged 20-64 with upper secondary or tertiary education attainment. While the CBC area preforms at a similar level </w:t>
      </w:r>
      <w:r w:rsidR="008D2779">
        <w:rPr>
          <w:noProof/>
          <w:lang w:eastAsia="en-GB"/>
        </w:rPr>
        <w:t>to Slovakia</w:t>
      </w:r>
      <w:r>
        <w:rPr>
          <w:noProof/>
          <w:lang w:eastAsia="en-GB"/>
        </w:rPr>
        <w:t xml:space="preserve"> with regard to </w:t>
      </w:r>
      <w:r w:rsidR="00962847">
        <w:rPr>
          <w:noProof/>
          <w:lang w:eastAsia="en-GB"/>
        </w:rPr>
        <w:t>these</w:t>
      </w:r>
      <w:r>
        <w:rPr>
          <w:noProof/>
          <w:lang w:eastAsia="en-GB"/>
        </w:rPr>
        <w:t xml:space="preserve"> two later indicators, it has a slightly weaker performance than the Czech Republic. The employment rate (BOX PLOT 2) is lower than the EU-27+4, all CBC or the Czech medians</w:t>
      </w:r>
      <w:r w:rsidR="008D2779">
        <w:rPr>
          <w:noProof/>
          <w:lang w:eastAsia="en-GB"/>
        </w:rPr>
        <w:t xml:space="preserve"> in most of the NUTS3 border-regions</w:t>
      </w:r>
      <w:r>
        <w:rPr>
          <w:noProof/>
          <w:lang w:eastAsia="en-GB"/>
        </w:rPr>
        <w:t xml:space="preserve">, </w:t>
      </w:r>
      <w:r w:rsidR="008D2779">
        <w:rPr>
          <w:noProof/>
          <w:lang w:eastAsia="en-GB"/>
        </w:rPr>
        <w:t>however, most border-regions had a higher employment rate in 2010 than the Slovakian median value</w:t>
      </w:r>
      <w:r>
        <w:rPr>
          <w:noProof/>
          <w:lang w:eastAsia="en-GB"/>
        </w:rPr>
        <w:t>.</w:t>
      </w:r>
    </w:p>
    <w:p w:rsidR="007963F9" w:rsidRDefault="007963F9" w:rsidP="007963F9">
      <w:pPr>
        <w:widowControl w:val="0"/>
        <w:autoSpaceDE w:val="0"/>
        <w:autoSpaceDN w:val="0"/>
        <w:adjustRightInd w:val="0"/>
        <w:spacing w:after="0" w:line="240" w:lineRule="auto"/>
        <w:rPr>
          <w:noProof/>
          <w:lang w:eastAsia="en-GB"/>
        </w:rPr>
      </w:pPr>
    </w:p>
    <w:p w:rsidR="005D06A5" w:rsidRDefault="005D06A5" w:rsidP="007963F9">
      <w:pPr>
        <w:widowControl w:val="0"/>
        <w:autoSpaceDE w:val="0"/>
        <w:autoSpaceDN w:val="0"/>
        <w:adjustRightInd w:val="0"/>
        <w:spacing w:after="0" w:line="240" w:lineRule="auto"/>
        <w:rPr>
          <w:noProof/>
          <w:lang w:eastAsia="en-GB"/>
        </w:rPr>
      </w:pPr>
      <w:r w:rsidRPr="005D06A5">
        <w:rPr>
          <w:noProof/>
          <w:lang w:eastAsia="en-GB"/>
        </w:rPr>
        <w:t>To further explore the role of policies the ESPON project DEMIFER has developed four scenarios to show how various policy bundles can lead to different trajectories of developments in population and labour force. According to all four scenarios the labour force is expected to decrease considerably until 2050 in the Czech border-regions. Substantial decrease in the labour force is also foreseen on the Slovak side of the border, although according to the ‘Growing Social Europe’, and ‘Expanding Market Europe’ scenarios this decrease will be more limited (10-30%) in Trnavský kraj and Trenčianský kraj than in other border regions.</w:t>
      </w:r>
    </w:p>
    <w:p w:rsidR="00104631" w:rsidRDefault="00104631" w:rsidP="00A45F1B">
      <w:pPr>
        <w:spacing w:after="0" w:line="240" w:lineRule="auto"/>
        <w:rPr>
          <w:noProof/>
          <w:lang w:eastAsia="en-GB"/>
        </w:rPr>
      </w:pPr>
      <w:r>
        <w:rPr>
          <w:noProof/>
          <w:lang w:eastAsia="en-GB"/>
        </w:rPr>
        <w:br w:type="page"/>
      </w:r>
    </w:p>
    <w:p w:rsidR="005A5FC4" w:rsidRPr="00C33A99" w:rsidRDefault="00016B50" w:rsidP="005A5FC4">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131060">
        <w:rPr>
          <w:b/>
        </w:rPr>
        <w:t>Slovak Republic - Czech Republic</w:t>
      </w:r>
    </w:p>
    <w:p w:rsidR="0089569C" w:rsidRDefault="0089569C" w:rsidP="0089569C">
      <w:pPr>
        <w:spacing w:after="0" w:line="240" w:lineRule="auto"/>
        <w:rPr>
          <w:noProof/>
          <w:lang w:eastAsia="en-GB"/>
        </w:rPr>
      </w:pPr>
    </w:p>
    <w:p w:rsidR="0089569C" w:rsidRDefault="00B6066F" w:rsidP="0089569C">
      <w:pPr>
        <w:spacing w:after="0" w:line="240" w:lineRule="auto"/>
        <w:rPr>
          <w:noProof/>
          <w:lang w:eastAsia="en-GB"/>
        </w:rPr>
      </w:pPr>
      <w:r w:rsidRPr="00B6066F">
        <w:rPr>
          <w:noProof/>
          <w:lang w:val="de-DE" w:eastAsia="de-DE"/>
        </w:rPr>
        <w:pict>
          <v:oval id="_x0000_s1034" style="position:absolute;left:0;text-align:left;margin-left:319.8pt;margin-top:325.95pt;width:19.15pt;height:18.75pt;z-index:251667968" filled="f" strokecolor="#0070c0" strokeweight="2pt"/>
        </w:pict>
      </w:r>
      <w:r w:rsidRPr="00B6066F">
        <w:rPr>
          <w:noProof/>
          <w:lang w:val="de-DE" w:eastAsia="de-DE"/>
        </w:rPr>
        <w:pict>
          <v:oval id="_x0000_s1033" style="position:absolute;left:0;text-align:left;margin-left:120.25pt;margin-top:325.95pt;width:19.15pt;height:18.75pt;z-index:251666944" filled="f" strokecolor="#0070c0" strokeweight="2pt"/>
        </w:pict>
      </w:r>
      <w:r w:rsidRPr="00B6066F">
        <w:rPr>
          <w:noProof/>
          <w:lang w:val="de-DE" w:eastAsia="de-DE"/>
        </w:rPr>
        <w:pict>
          <v:oval id="_x0000_s1032" style="position:absolute;left:0;text-align:left;margin-left:318.95pt;margin-top:120.85pt;width:19.15pt;height:18.75pt;z-index:251665920" filled="f" strokecolor="#0070c0" strokeweight="2pt"/>
        </w:pict>
      </w:r>
      <w:r w:rsidRPr="00B6066F">
        <w:rPr>
          <w:noProof/>
          <w:lang w:val="de-DE" w:eastAsia="de-DE"/>
        </w:rPr>
        <w:pict>
          <v:oval id="_x0000_s1031" style="position:absolute;left:0;text-align:left;margin-left:121.1pt;margin-top:120pt;width:19.15pt;height:18.75pt;z-index:251664896" filled="f" strokecolor="#0070c0" strokeweight="2pt"/>
        </w:pict>
      </w:r>
      <w:r w:rsidR="00E117FA">
        <w:rPr>
          <w:noProof/>
          <w:lang w:val="en-US"/>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340D55" w:rsidRDefault="00340D55" w:rsidP="00340D55">
      <w:pPr>
        <w:rPr>
          <w:noProof/>
          <w:lang w:eastAsia="en-GB"/>
        </w:rPr>
      </w:pPr>
      <w:r w:rsidRPr="00FD638D">
        <w:rPr>
          <w:b/>
        </w:rPr>
        <w:lastRenderedPageBreak/>
        <w:t xml:space="preserve">BOX-PLOT 2 – Employment rate 2010 within the CBC </w:t>
      </w:r>
      <w:r w:rsidR="00131060">
        <w:rPr>
          <w:b/>
        </w:rPr>
        <w:t>Slovak Republic - Czech Republic</w:t>
      </w:r>
    </w:p>
    <w:p w:rsidR="00340D55" w:rsidRDefault="00340D55" w:rsidP="00340D55">
      <w:pPr>
        <w:spacing w:after="0" w:line="240" w:lineRule="auto"/>
        <w:jc w:val="left"/>
        <w:rPr>
          <w:noProof/>
          <w:lang w:eastAsia="en-GB"/>
        </w:rPr>
      </w:pPr>
      <w:r>
        <w:rPr>
          <w:noProof/>
          <w:lang w:val="en-US"/>
        </w:rPr>
        <w:drawing>
          <wp:inline distT="0" distB="0" distL="0" distR="0">
            <wp:extent cx="5278755" cy="4220469"/>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78755" cy="4220469"/>
                    </a:xfrm>
                    <a:prstGeom prst="rect">
                      <a:avLst/>
                    </a:prstGeom>
                    <a:noFill/>
                    <a:ln w="9525">
                      <a:noFill/>
                      <a:miter lim="800000"/>
                      <a:headEnd/>
                      <a:tailEnd/>
                    </a:ln>
                  </pic:spPr>
                </pic:pic>
              </a:graphicData>
            </a:graphic>
          </wp:inline>
        </w:drawing>
      </w:r>
    </w:p>
    <w:p w:rsidR="00340D55" w:rsidRDefault="00340D55" w:rsidP="00340D55">
      <w:pPr>
        <w:spacing w:after="0" w:line="240" w:lineRule="auto"/>
        <w:jc w:val="left"/>
        <w:rPr>
          <w:noProof/>
          <w:lang w:eastAsia="en-GB"/>
        </w:rPr>
      </w:pPr>
    </w:p>
    <w:p w:rsidR="00340D55" w:rsidRPr="00383954" w:rsidRDefault="00340D55" w:rsidP="00340D55">
      <w:pPr>
        <w:spacing w:after="0" w:line="240" w:lineRule="auto"/>
        <w:jc w:val="left"/>
        <w:rPr>
          <w:i/>
          <w:noProof/>
          <w:lang w:eastAsia="en-GB"/>
        </w:rPr>
      </w:pPr>
      <w:r w:rsidRPr="00383954">
        <w:rPr>
          <w:i/>
          <w:noProof/>
          <w:lang w:eastAsia="en-GB"/>
        </w:rPr>
        <w:t xml:space="preserve">(see “How to read the box-plots?” on page </w:t>
      </w:r>
      <w:r w:rsidR="00A051E6">
        <w:rPr>
          <w:i/>
          <w:noProof/>
          <w:lang w:eastAsia="en-GB"/>
        </w:rPr>
        <w:t>8</w:t>
      </w:r>
      <w:r w:rsidRPr="00383954">
        <w:rPr>
          <w:i/>
          <w:noProof/>
          <w:lang w:eastAsia="en-GB"/>
        </w:rPr>
        <w:t>)</w:t>
      </w:r>
    </w:p>
    <w:p w:rsidR="00340D55" w:rsidRDefault="00340D55" w:rsidP="00340D55">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F77048" w:rsidRDefault="005761A6" w:rsidP="005761A6">
      <w:pPr>
        <w:pStyle w:val="Heading1"/>
      </w:pPr>
      <w:r w:rsidRPr="00F77048">
        <w:lastRenderedPageBreak/>
        <w:t xml:space="preserve">Territorial factors of interest for the programme area </w:t>
      </w:r>
    </w:p>
    <w:p w:rsidR="00F77048" w:rsidRDefault="00F77048" w:rsidP="00F77048">
      <w:r w:rsidRPr="00331022">
        <w:t>Territorial cooperation programmes can make a difference for the future</w:t>
      </w:r>
      <w:r w:rsidRPr="00352603">
        <w:t xml:space="preserv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F77048" w:rsidRDefault="00F77048" w:rsidP="00F77048">
      <w:r>
        <w:t xml:space="preserve">In a European perspective the programme area is mainly characterised by intermediate regions (in-between rural and urban) close to a city and some rural regions. The intermediate and rural character of the programme area comes also with a number of challenges. Some of them are closely linked to the rural development opportunities and constraints identified by ESPON EDORA (see figure). </w:t>
      </w:r>
    </w:p>
    <w:p w:rsidR="00F77048" w:rsidRDefault="00F77048" w:rsidP="00F77048">
      <w:r>
        <w:t xml:space="preserve">The programme area comprises some smaller urban centres such as e.g. Ostrava, Zilina, Brno, Trencin, and Trnava. Furthermore, the development of the programme area benefits also from the close proximity to Bratislava as a Metropolitan European Growth Area. </w:t>
      </w:r>
    </w:p>
    <w:p w:rsidR="00F77048" w:rsidRDefault="00F77048" w:rsidP="00F77048">
      <w:r w:rsidRPr="00D05703">
        <w:t xml:space="preserve">This concerns both the access to services </w:t>
      </w:r>
      <w:r>
        <w:t>and</w:t>
      </w:r>
      <w:r w:rsidRPr="00D05703">
        <w:t xml:space="preserve"> infrastructure. In a European</w:t>
      </w:r>
      <w:r>
        <w:t xml:space="preserve"> perspective the programme area has below European average international and multimodal accessibility. </w:t>
      </w:r>
    </w:p>
    <w:p w:rsidR="00F77048" w:rsidRDefault="00F77048" w:rsidP="00F77048">
      <w:r>
        <w:t xml:space="preserve">The programme area has more border-crossings per 100 km border than what is the average for European border regions. This facilitates interactions across the border and also the development of cross-border functional areas. </w:t>
      </w:r>
    </w:p>
    <w:p w:rsidR="00F77048" w:rsidRDefault="00F77048" w:rsidP="00F77048">
      <w:r w:rsidRPr="009D6849">
        <w:t>The internet use and access to the Information Society in the programme a</w:t>
      </w:r>
      <w:r>
        <w:t>rea is described a</w:t>
      </w:r>
      <w:r w:rsidRPr="009D6849">
        <w:t xml:space="preserve">s </w:t>
      </w:r>
      <w:r>
        <w:t xml:space="preserve">low and partially </w:t>
      </w:r>
      <w:r w:rsidRPr="009D6849">
        <w:t xml:space="preserve">moderate in a European perspective. </w:t>
      </w:r>
    </w:p>
    <w:p w:rsidR="00F77048" w:rsidRPr="009D6849" w:rsidRDefault="00F77048" w:rsidP="00F77048">
      <w:r>
        <w:t xml:space="preserve">Some parts of the programme area also characterised as mountainous in a European perspective. Particular development challenges related to mountain areas have been addressed by ESPON GEOSPECS. </w:t>
      </w:r>
    </w:p>
    <w:p w:rsidR="00F77048" w:rsidRDefault="00F77048" w:rsidP="00F77048">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EDORA</w:t>
      </w:r>
      <w:r w:rsidRPr="00637C5D">
        <w:rPr>
          <w:rFonts w:cs="Calibri"/>
          <w:sz w:val="18"/>
          <w:szCs w:val="20"/>
          <w:lang w:eastAsia="fr-FR"/>
        </w:rPr>
        <w:t xml:space="preserve"> –</w:t>
      </w:r>
      <w:r>
        <w:rPr>
          <w:rFonts w:cs="Calibri"/>
          <w:sz w:val="18"/>
          <w:szCs w:val="20"/>
          <w:lang w:eastAsia="fr-FR"/>
        </w:rPr>
        <w:t xml:space="preserve"> FINAL REPORT, PAGE 45:</w:t>
      </w:r>
      <w:r>
        <w:rPr>
          <w:rFonts w:cs="Calibri"/>
          <w:sz w:val="18"/>
          <w:szCs w:val="20"/>
          <w:lang w:eastAsia="fr-FR"/>
        </w:rPr>
        <w:br/>
        <w:t>E</w:t>
      </w:r>
      <w:r w:rsidRPr="00955507">
        <w:rPr>
          <w:rFonts w:cs="Calibri"/>
          <w:sz w:val="18"/>
          <w:szCs w:val="20"/>
          <w:lang w:eastAsia="fr-FR"/>
        </w:rPr>
        <w:t>xamples of Rural Opportunities and Constraints</w:t>
      </w:r>
    </w:p>
    <w:p w:rsidR="00F77048" w:rsidRDefault="00F77048" w:rsidP="00F77048">
      <w:pPr>
        <w:shd w:val="clear" w:color="auto" w:fill="F2F2F2" w:themeFill="background1" w:themeFillShade="F2"/>
        <w:spacing w:line="240" w:lineRule="auto"/>
        <w:jc w:val="center"/>
        <w:rPr>
          <w:rFonts w:cs="Calibri"/>
          <w:sz w:val="18"/>
          <w:szCs w:val="20"/>
          <w:lang w:eastAsia="fr-FR"/>
        </w:rPr>
      </w:pPr>
      <w:r w:rsidRPr="00955507">
        <w:rPr>
          <w:rFonts w:cs="Calibri"/>
          <w:noProof/>
          <w:sz w:val="18"/>
          <w:szCs w:val="20"/>
          <w:lang w:val="en-US"/>
        </w:rPr>
        <w:drawing>
          <wp:inline distT="0" distB="0" distL="0" distR="0">
            <wp:extent cx="4925695" cy="3133394"/>
            <wp:effectExtent l="25400" t="0" r="1905" b="0"/>
            <wp:docPr id="3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925695" cy="3133394"/>
                    </a:xfrm>
                    <a:prstGeom prst="rect">
                      <a:avLst/>
                    </a:prstGeom>
                    <a:noFill/>
                    <a:ln w="9525">
                      <a:noFill/>
                      <a:miter lim="800000"/>
                      <a:headEnd/>
                      <a:tailEnd/>
                    </a:ln>
                  </pic:spPr>
                </pic:pic>
              </a:graphicData>
            </a:graphic>
          </wp:inline>
        </w:drawing>
      </w:r>
    </w:p>
    <w:p w:rsidR="00F77048" w:rsidRDefault="00F77048" w:rsidP="00F77048">
      <w:pPr>
        <w:shd w:val="clear" w:color="auto" w:fill="F2F2F2" w:themeFill="background1" w:themeFillShade="F2"/>
        <w:spacing w:line="240" w:lineRule="auto"/>
        <w:jc w:val="center"/>
        <w:rPr>
          <w:rFonts w:cs="Calibri"/>
          <w:sz w:val="18"/>
          <w:szCs w:val="20"/>
          <w:lang w:eastAsia="fr-FR"/>
        </w:rPr>
      </w:pPr>
    </w:p>
    <w:p w:rsidR="005A5FC4" w:rsidRPr="005A5FC4" w:rsidRDefault="005A5FC4" w:rsidP="005A5FC4"/>
    <w:p w:rsidR="009B2BE6" w:rsidRDefault="009B2BE6">
      <w:pPr>
        <w:spacing w:after="0" w:line="240" w:lineRule="auto"/>
        <w:jc w:val="left"/>
      </w:pPr>
    </w:p>
    <w:p w:rsidR="005A5FC4" w:rsidRPr="00C33A99" w:rsidRDefault="0019394E" w:rsidP="005A5FC4">
      <w:pPr>
        <w:rPr>
          <w:b/>
        </w:rPr>
      </w:pPr>
      <w:r w:rsidRPr="0019394E">
        <w:rPr>
          <w:b/>
          <w:noProof/>
          <w:lang w:eastAsia="en-GB"/>
        </w:rPr>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131060">
        <w:rPr>
          <w:b/>
        </w:rPr>
        <w:t>Slovak Republic - Czech Republic</w:t>
      </w:r>
    </w:p>
    <w:p w:rsidR="0089569C" w:rsidRDefault="0089569C" w:rsidP="0089569C">
      <w:pPr>
        <w:spacing w:after="0" w:line="240" w:lineRule="auto"/>
        <w:jc w:val="left"/>
        <w:rPr>
          <w:noProof/>
          <w:lang w:eastAsia="en-GB"/>
        </w:rPr>
      </w:pPr>
    </w:p>
    <w:p w:rsidR="0089569C" w:rsidRDefault="00B6066F" w:rsidP="0089569C">
      <w:pPr>
        <w:spacing w:after="0" w:line="240" w:lineRule="auto"/>
        <w:jc w:val="left"/>
        <w:rPr>
          <w:noProof/>
          <w:lang w:eastAsia="en-GB"/>
        </w:rPr>
      </w:pPr>
      <w:r w:rsidRPr="00B6066F">
        <w:rPr>
          <w:noProof/>
          <w:lang w:val="de-DE" w:eastAsia="de-DE"/>
        </w:rPr>
        <w:pict>
          <v:oval id="_x0000_s1035" style="position:absolute;margin-left:222.45pt;margin-top:230.95pt;width:30.35pt;height:29.7pt;z-index:251668992" filled="f" strokecolor="#0070c0" strokeweight="2pt"/>
        </w:pict>
      </w:r>
      <w:r w:rsidR="00D017A7">
        <w:rPr>
          <w:noProof/>
          <w:lang w:val="en-US"/>
        </w:rPr>
        <w:drawing>
          <wp:inline distT="0" distB="0" distL="0" distR="0">
            <wp:extent cx="5278755" cy="7214065"/>
            <wp:effectExtent l="1905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E9293F" w:rsidRPr="0085195F" w:rsidRDefault="00E9293F" w:rsidP="00E9293F">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131060">
        <w:rPr>
          <w:b/>
        </w:rPr>
        <w:t>Slovak Republic - Czech Republic</w:t>
      </w:r>
    </w:p>
    <w:p w:rsidR="00F30951" w:rsidRPr="00021CAB" w:rsidRDefault="00F30951" w:rsidP="00F30951">
      <w:pPr>
        <w:spacing w:after="240"/>
        <w:rPr>
          <w:i/>
        </w:rPr>
      </w:pPr>
      <w:r w:rsidRPr="00021CAB">
        <w:rPr>
          <w:i/>
        </w:rPr>
        <w:t>“Potential Accessibility Multimodal” scores accessibility of NUTS 3 regions by road, rail and air relative to the European average in an Accessibility Index.</w:t>
      </w:r>
    </w:p>
    <w:p w:rsidR="0089569C" w:rsidRDefault="00B6066F" w:rsidP="0089569C">
      <w:pPr>
        <w:spacing w:after="0" w:line="240" w:lineRule="auto"/>
        <w:jc w:val="left"/>
        <w:rPr>
          <w:noProof/>
          <w:lang w:eastAsia="en-GB"/>
        </w:rPr>
      </w:pPr>
      <w:r w:rsidRPr="00B6066F">
        <w:rPr>
          <w:noProof/>
          <w:lang w:val="de-DE" w:eastAsia="de-DE"/>
        </w:rPr>
        <w:pict>
          <v:oval id="_x0000_s1036" style="position:absolute;margin-left:220.6pt;margin-top:233.05pt;width:30.35pt;height:29.7pt;z-index:251670016" filled="f" strokecolor="#0070c0" strokeweight="2pt"/>
        </w:pict>
      </w:r>
      <w:r w:rsidR="00E117FA">
        <w:rPr>
          <w:noProof/>
          <w:lang w:val="en-US"/>
        </w:rPr>
        <w:drawing>
          <wp:inline distT="0" distB="0" distL="0" distR="0">
            <wp:extent cx="5278755" cy="7444105"/>
            <wp:effectExtent l="19050" t="0" r="0" b="0"/>
            <wp:docPr id="18" name="Grafik 17"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AE367B" w:rsidRDefault="005A5FC4" w:rsidP="0019394E">
      <w:pPr>
        <w:pStyle w:val="Heading1"/>
      </w:pPr>
      <w:r w:rsidRPr="00AE367B">
        <w:lastRenderedPageBreak/>
        <w:t>Recommended ESPON reading</w:t>
      </w:r>
    </w:p>
    <w:p w:rsidR="00DA04B4" w:rsidRDefault="00DA04B4" w:rsidP="00DA04B4">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DA04B4" w:rsidRDefault="00DA04B4" w:rsidP="00DA04B4">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DA04B4" w:rsidRPr="00A0472D" w:rsidTr="00F057F9">
        <w:trPr>
          <w:trHeight w:val="203"/>
        </w:trPr>
        <w:tc>
          <w:tcPr>
            <w:tcW w:w="1276" w:type="dxa"/>
            <w:shd w:val="clear" w:color="auto" w:fill="auto"/>
          </w:tcPr>
          <w:p w:rsidR="00DA04B4" w:rsidRPr="00A0472D" w:rsidRDefault="00DA04B4" w:rsidP="00F057F9">
            <w:pPr>
              <w:spacing w:after="0" w:line="20" w:lineRule="atLeast"/>
              <w:rPr>
                <w:b/>
                <w:sz w:val="18"/>
                <w:szCs w:val="18"/>
              </w:rPr>
            </w:pPr>
            <w:r w:rsidRPr="00A0472D">
              <w:rPr>
                <w:b/>
                <w:sz w:val="18"/>
                <w:szCs w:val="18"/>
              </w:rPr>
              <w:t>ESPON study</w:t>
            </w:r>
          </w:p>
        </w:tc>
        <w:tc>
          <w:tcPr>
            <w:tcW w:w="1418" w:type="dxa"/>
            <w:shd w:val="clear" w:color="auto" w:fill="auto"/>
          </w:tcPr>
          <w:p w:rsidR="00DA04B4" w:rsidRPr="00A0472D" w:rsidRDefault="00DA04B4" w:rsidP="00F057F9">
            <w:pPr>
              <w:spacing w:after="0" w:line="20" w:lineRule="atLeast"/>
              <w:rPr>
                <w:b/>
                <w:sz w:val="18"/>
                <w:szCs w:val="18"/>
              </w:rPr>
            </w:pPr>
            <w:r w:rsidRPr="00A0472D">
              <w:rPr>
                <w:b/>
                <w:sz w:val="18"/>
                <w:szCs w:val="18"/>
              </w:rPr>
              <w:t>Topic</w:t>
            </w:r>
          </w:p>
        </w:tc>
        <w:tc>
          <w:tcPr>
            <w:tcW w:w="5670" w:type="dxa"/>
            <w:shd w:val="clear" w:color="auto" w:fill="auto"/>
          </w:tcPr>
          <w:p w:rsidR="00DA04B4" w:rsidRPr="00A0472D" w:rsidRDefault="00DA04B4" w:rsidP="00F057F9">
            <w:pPr>
              <w:spacing w:after="0" w:line="20" w:lineRule="atLeast"/>
              <w:rPr>
                <w:b/>
                <w:sz w:val="18"/>
                <w:szCs w:val="18"/>
              </w:rPr>
            </w:pPr>
            <w:r w:rsidRPr="00A0472D">
              <w:rPr>
                <w:b/>
                <w:sz w:val="18"/>
                <w:szCs w:val="18"/>
              </w:rPr>
              <w:t>Content</w:t>
            </w:r>
          </w:p>
        </w:tc>
      </w:tr>
      <w:tr w:rsidR="00DA04B4" w:rsidRPr="00A0472D" w:rsidTr="00F057F9">
        <w:trPr>
          <w:trHeight w:val="274"/>
        </w:trPr>
        <w:tc>
          <w:tcPr>
            <w:tcW w:w="1276" w:type="dxa"/>
            <w:shd w:val="clear" w:color="auto" w:fill="FFFFFF" w:themeFill="background1"/>
          </w:tcPr>
          <w:p w:rsidR="00DA04B4" w:rsidRPr="00A0472D" w:rsidRDefault="00DA04B4" w:rsidP="00F057F9">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DA04B4" w:rsidRPr="00A0472D" w:rsidRDefault="00DA04B4" w:rsidP="00F057F9">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DA04B4" w:rsidRPr="00A0472D" w:rsidRDefault="00DA04B4" w:rsidP="00F057F9">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DA04B4" w:rsidRPr="00A0472D" w:rsidTr="00F057F9">
        <w:trPr>
          <w:trHeight w:val="274"/>
        </w:trPr>
        <w:tc>
          <w:tcPr>
            <w:tcW w:w="1276" w:type="dxa"/>
            <w:shd w:val="clear" w:color="auto" w:fill="FFFFFF" w:themeFill="background1"/>
          </w:tcPr>
          <w:p w:rsidR="00DA04B4" w:rsidRPr="00A0472D" w:rsidRDefault="00DA04B4" w:rsidP="00F057F9">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DA04B4" w:rsidRPr="00A0472D" w:rsidRDefault="00DA04B4" w:rsidP="00F057F9">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DA04B4" w:rsidRPr="00A0472D" w:rsidRDefault="00DA04B4" w:rsidP="00F057F9">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DA04B4" w:rsidRPr="00A0472D" w:rsidTr="00F057F9">
        <w:trPr>
          <w:trHeight w:val="274"/>
        </w:trPr>
        <w:tc>
          <w:tcPr>
            <w:tcW w:w="1276" w:type="dxa"/>
            <w:shd w:val="clear" w:color="auto" w:fill="FFFFFF" w:themeFill="background1"/>
          </w:tcPr>
          <w:p w:rsidR="00DA04B4" w:rsidRPr="00A0472D" w:rsidRDefault="00DA04B4" w:rsidP="00F057F9">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DA04B4" w:rsidRPr="00A0472D" w:rsidRDefault="00DA04B4" w:rsidP="00F057F9">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DA04B4" w:rsidRPr="00A0472D" w:rsidRDefault="00DA04B4" w:rsidP="00F057F9">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DA04B4" w:rsidRPr="00A0472D" w:rsidTr="00F057F9">
        <w:trPr>
          <w:trHeight w:val="274"/>
        </w:trPr>
        <w:tc>
          <w:tcPr>
            <w:tcW w:w="1276" w:type="dxa"/>
            <w:shd w:val="clear" w:color="auto" w:fill="FFFFFF" w:themeFill="background1"/>
          </w:tcPr>
          <w:p w:rsidR="00DA04B4" w:rsidRPr="00A0472D" w:rsidRDefault="00DA04B4" w:rsidP="00F057F9">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DA04B4" w:rsidRPr="00A0472D" w:rsidRDefault="00DA04B4" w:rsidP="00F057F9">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DA04B4" w:rsidRPr="00A0472D" w:rsidRDefault="00DA04B4" w:rsidP="00F057F9">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DA04B4" w:rsidRPr="00A0472D" w:rsidTr="00F057F9">
        <w:trPr>
          <w:trHeight w:val="274"/>
        </w:trPr>
        <w:tc>
          <w:tcPr>
            <w:tcW w:w="1276" w:type="dxa"/>
            <w:shd w:val="clear" w:color="auto" w:fill="FFFFFF" w:themeFill="background1"/>
          </w:tcPr>
          <w:p w:rsidR="00DA04B4" w:rsidRPr="00A0472D" w:rsidRDefault="00DA04B4" w:rsidP="00F057F9">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DA04B4" w:rsidRPr="00A0472D" w:rsidRDefault="00DA04B4" w:rsidP="00F057F9">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DA04B4" w:rsidRPr="00A0472D" w:rsidRDefault="00DA04B4" w:rsidP="00F057F9">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DA04B4" w:rsidRPr="00A0472D" w:rsidTr="00F057F9">
        <w:trPr>
          <w:trHeight w:val="274"/>
        </w:trPr>
        <w:tc>
          <w:tcPr>
            <w:tcW w:w="1276" w:type="dxa"/>
            <w:tcBorders>
              <w:bottom w:val="single" w:sz="4" w:space="0" w:color="auto"/>
            </w:tcBorders>
            <w:shd w:val="clear" w:color="auto" w:fill="FFFFFF" w:themeFill="background1"/>
          </w:tcPr>
          <w:p w:rsidR="00DA04B4" w:rsidRPr="00A0472D" w:rsidRDefault="00DA04B4" w:rsidP="00F057F9">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DA04B4" w:rsidRPr="00A0472D" w:rsidRDefault="00DA04B4" w:rsidP="00F057F9">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DA04B4" w:rsidRPr="00A0472D" w:rsidRDefault="00DA04B4" w:rsidP="00F057F9">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DA04B4" w:rsidRPr="00A0472D" w:rsidTr="00F057F9">
        <w:trPr>
          <w:trHeight w:val="274"/>
        </w:trPr>
        <w:tc>
          <w:tcPr>
            <w:tcW w:w="1276" w:type="dxa"/>
            <w:shd w:val="clear" w:color="auto" w:fill="FFFFFF" w:themeFill="background1"/>
          </w:tcPr>
          <w:p w:rsidR="00DA04B4" w:rsidRPr="008152C4" w:rsidRDefault="00DA04B4" w:rsidP="00F057F9">
            <w:pPr>
              <w:spacing w:after="0" w:line="20" w:lineRule="atLeast"/>
              <w:rPr>
                <w:sz w:val="18"/>
                <w:szCs w:val="18"/>
              </w:rPr>
            </w:pPr>
            <w:r>
              <w:rPr>
                <w:sz w:val="18"/>
                <w:szCs w:val="18"/>
              </w:rPr>
              <w:t>KIT</w:t>
            </w:r>
          </w:p>
        </w:tc>
        <w:tc>
          <w:tcPr>
            <w:tcW w:w="1418" w:type="dxa"/>
            <w:shd w:val="clear" w:color="auto" w:fill="FFFFFF" w:themeFill="background1"/>
          </w:tcPr>
          <w:p w:rsidR="00DA04B4" w:rsidRPr="008152C4" w:rsidRDefault="00DA04B4" w:rsidP="00F057F9">
            <w:pPr>
              <w:spacing w:after="0" w:line="20" w:lineRule="atLeast"/>
              <w:rPr>
                <w:sz w:val="18"/>
                <w:szCs w:val="18"/>
              </w:rPr>
            </w:pPr>
            <w:r w:rsidRPr="008152C4">
              <w:rPr>
                <w:sz w:val="18"/>
                <w:szCs w:val="18"/>
              </w:rPr>
              <w:t>Innovation</w:t>
            </w:r>
          </w:p>
        </w:tc>
        <w:tc>
          <w:tcPr>
            <w:tcW w:w="5670" w:type="dxa"/>
            <w:shd w:val="clear" w:color="auto" w:fill="FFFFFF" w:themeFill="background1"/>
          </w:tcPr>
          <w:p w:rsidR="00DA04B4" w:rsidRPr="008152C4" w:rsidRDefault="00DA04B4" w:rsidP="00F057F9">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DA04B4" w:rsidRPr="00A0472D" w:rsidTr="00F057F9">
        <w:trPr>
          <w:trHeight w:val="274"/>
        </w:trPr>
        <w:tc>
          <w:tcPr>
            <w:tcW w:w="1276" w:type="dxa"/>
            <w:shd w:val="clear" w:color="auto" w:fill="FFFFFF" w:themeFill="background1"/>
          </w:tcPr>
          <w:p w:rsidR="00DA04B4" w:rsidRPr="00A0472D" w:rsidRDefault="00DA04B4" w:rsidP="00F057F9">
            <w:pPr>
              <w:spacing w:after="0" w:line="20" w:lineRule="atLeast"/>
              <w:rPr>
                <w:sz w:val="18"/>
                <w:szCs w:val="18"/>
              </w:rPr>
            </w:pPr>
            <w:r w:rsidRPr="008152C4">
              <w:rPr>
                <w:sz w:val="18"/>
                <w:szCs w:val="18"/>
              </w:rPr>
              <w:t>SGPTD</w:t>
            </w:r>
          </w:p>
        </w:tc>
        <w:tc>
          <w:tcPr>
            <w:tcW w:w="1418" w:type="dxa"/>
            <w:shd w:val="clear" w:color="auto" w:fill="FFFFFF" w:themeFill="background1"/>
          </w:tcPr>
          <w:p w:rsidR="00DA04B4" w:rsidRPr="00A0472D" w:rsidRDefault="00DA04B4" w:rsidP="00F057F9">
            <w:pPr>
              <w:spacing w:after="0" w:line="20" w:lineRule="atLeast"/>
              <w:rPr>
                <w:sz w:val="18"/>
                <w:szCs w:val="18"/>
              </w:rPr>
            </w:pPr>
            <w:r w:rsidRPr="008152C4">
              <w:rPr>
                <w:sz w:val="18"/>
                <w:szCs w:val="18"/>
              </w:rPr>
              <w:t>Growth poles</w:t>
            </w:r>
          </w:p>
        </w:tc>
        <w:tc>
          <w:tcPr>
            <w:tcW w:w="5670" w:type="dxa"/>
            <w:shd w:val="clear" w:color="auto" w:fill="FFFFFF" w:themeFill="background1"/>
          </w:tcPr>
          <w:p w:rsidR="00DA04B4" w:rsidRPr="00A0472D" w:rsidRDefault="00DA04B4" w:rsidP="00F057F9">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DA04B4" w:rsidRPr="00A0472D" w:rsidTr="00F057F9">
        <w:trPr>
          <w:trHeight w:val="274"/>
        </w:trPr>
        <w:tc>
          <w:tcPr>
            <w:tcW w:w="1276" w:type="dxa"/>
            <w:shd w:val="clear" w:color="auto" w:fill="FFFFFF" w:themeFill="background1"/>
          </w:tcPr>
          <w:p w:rsidR="00DA04B4" w:rsidRPr="00A532E4" w:rsidRDefault="00DA04B4" w:rsidP="00F057F9">
            <w:pPr>
              <w:spacing w:after="0" w:line="20" w:lineRule="atLeast"/>
              <w:rPr>
                <w:sz w:val="18"/>
                <w:szCs w:val="18"/>
              </w:rPr>
            </w:pPr>
            <w:r w:rsidRPr="00302288">
              <w:rPr>
                <w:sz w:val="18"/>
                <w:szCs w:val="18"/>
              </w:rPr>
              <w:t>TRACC</w:t>
            </w:r>
          </w:p>
        </w:tc>
        <w:tc>
          <w:tcPr>
            <w:tcW w:w="1418" w:type="dxa"/>
            <w:shd w:val="clear" w:color="auto" w:fill="FFFFFF" w:themeFill="background1"/>
          </w:tcPr>
          <w:p w:rsidR="00DA04B4" w:rsidRPr="00A532E4" w:rsidRDefault="00DA04B4" w:rsidP="00F057F9">
            <w:pPr>
              <w:spacing w:after="0" w:line="20" w:lineRule="atLeast"/>
              <w:rPr>
                <w:sz w:val="18"/>
                <w:szCs w:val="18"/>
              </w:rPr>
            </w:pPr>
            <w:r w:rsidRPr="00302288">
              <w:rPr>
                <w:sz w:val="18"/>
                <w:szCs w:val="18"/>
              </w:rPr>
              <w:t>Transport accessibility</w:t>
            </w:r>
          </w:p>
        </w:tc>
        <w:tc>
          <w:tcPr>
            <w:tcW w:w="5670" w:type="dxa"/>
            <w:shd w:val="clear" w:color="auto" w:fill="FFFFFF" w:themeFill="background1"/>
          </w:tcPr>
          <w:p w:rsidR="00DA04B4" w:rsidRPr="0033165A" w:rsidRDefault="00DA04B4" w:rsidP="00F057F9">
            <w:pPr>
              <w:autoSpaceDE w:val="0"/>
              <w:autoSpaceDN w:val="0"/>
              <w:adjustRightInd w:val="0"/>
              <w:snapToGrid w:val="0"/>
              <w:spacing w:after="0" w:line="240" w:lineRule="auto"/>
              <w:rPr>
                <w:rFonts w:cs="Calibri"/>
                <w:sz w:val="18"/>
                <w:szCs w:val="20"/>
                <w:lang w:eastAsia="fr-FR"/>
              </w:rPr>
            </w:pPr>
            <w:r w:rsidRPr="0033165A">
              <w:rPr>
                <w:rFonts w:cs="Calibri"/>
                <w:sz w:val="18"/>
                <w:szCs w:val="20"/>
                <w:lang w:eastAsia="fr-FR"/>
              </w:rPr>
              <w:t xml:space="preserve">It delivers results to support the policy development in the field of transport and accessibility </w:t>
            </w:r>
            <w:r>
              <w:rPr>
                <w:rFonts w:cs="Calibri"/>
                <w:sz w:val="18"/>
                <w:szCs w:val="20"/>
                <w:lang w:eastAsia="fr-FR"/>
              </w:rPr>
              <w:t xml:space="preserve">and provides two maps on population density of Czech Republic. </w:t>
            </w:r>
          </w:p>
        </w:tc>
      </w:tr>
    </w:tbl>
    <w:p w:rsidR="00DA04B4" w:rsidRDefault="00DA04B4" w:rsidP="00DA04B4">
      <w:pPr>
        <w:spacing w:before="240"/>
      </w:pPr>
      <w:r>
        <w:t>Furthermore, some of overall ESPON products of particular interest for territorial cooperation are:</w:t>
      </w:r>
    </w:p>
    <w:p w:rsidR="00DA04B4" w:rsidRDefault="00DA04B4" w:rsidP="00DA04B4">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DA04B4" w:rsidRDefault="00DA04B4" w:rsidP="00DA04B4">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DA04B4" w:rsidRPr="00A33083" w:rsidRDefault="00DA04B4" w:rsidP="00DA04B4">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DA04B4" w:rsidRDefault="00DA04B4" w:rsidP="00DA04B4">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DA04B4" w:rsidRPr="00CD642B" w:rsidRDefault="00DA04B4" w:rsidP="00DA04B4">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DA04B4" w:rsidRDefault="00DA04B4" w:rsidP="00DA04B4">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DA04B4" w:rsidRPr="005A5FC4" w:rsidRDefault="00DA04B4" w:rsidP="00DA04B4">
      <w:pPr>
        <w:jc w:val="center"/>
      </w:pPr>
      <w:r w:rsidRPr="00CD642B">
        <w:t>All ESPON reports and tools are freely available at</w:t>
      </w:r>
      <w:r>
        <w:br/>
      </w:r>
      <w:r w:rsidRPr="00CD642B">
        <w:rPr>
          <w:b/>
        </w:rPr>
        <w:t>www.espon.eu</w:t>
      </w:r>
    </w:p>
    <w:p w:rsidR="005A5FC4" w:rsidRDefault="005A5FC4" w:rsidP="005A5FC4"/>
    <w:p w:rsidR="005A5FC4" w:rsidRPr="005A5FC4" w:rsidRDefault="005A5FC4" w:rsidP="005A5FC4"/>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B6066F" w:rsidRPr="00B6066F">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083CA6" w:rsidRPr="00E9293F" w:rsidRDefault="00083CA6" w:rsidP="00E9293F">
                  <w:pPr>
                    <w:rPr>
                      <w:szCs w:val="20"/>
                    </w:rPr>
                  </w:pPr>
                </w:p>
              </w:txbxContent>
            </v:textbox>
          </v:shape>
        </w:pict>
      </w:r>
      <w:r w:rsidR="00B6066F" w:rsidRPr="00B6066F">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083CA6" w:rsidRPr="00FB783A" w:rsidRDefault="00083CA6"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4A6C" w:rsidRDefault="00644A6C">
      <w:r>
        <w:separator/>
      </w:r>
    </w:p>
  </w:endnote>
  <w:endnote w:type="continuationSeparator" w:id="0">
    <w:p w:rsidR="00644A6C" w:rsidRDefault="00644A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CA6" w:rsidRDefault="00B6066F" w:rsidP="00BC65E1">
    <w:pPr>
      <w:framePr w:wrap="around" w:vAnchor="text" w:hAnchor="margin" w:xAlign="right" w:y="1"/>
      <w:rPr>
        <w:rStyle w:val="PageNumber"/>
      </w:rPr>
    </w:pPr>
    <w:r>
      <w:rPr>
        <w:rStyle w:val="PageNumber"/>
      </w:rPr>
      <w:fldChar w:fldCharType="begin"/>
    </w:r>
    <w:r w:rsidR="00083CA6">
      <w:rPr>
        <w:rStyle w:val="PageNumber"/>
      </w:rPr>
      <w:instrText xml:space="preserve">PAGE  </w:instrText>
    </w:r>
    <w:r>
      <w:rPr>
        <w:rStyle w:val="PageNumber"/>
      </w:rPr>
      <w:fldChar w:fldCharType="separate"/>
    </w:r>
    <w:r w:rsidR="00083CA6">
      <w:rPr>
        <w:rStyle w:val="PageNumber"/>
        <w:noProof/>
      </w:rPr>
      <w:t>3</w:t>
    </w:r>
    <w:r>
      <w:rPr>
        <w:rStyle w:val="PageNumber"/>
      </w:rPr>
      <w:fldChar w:fldCharType="end"/>
    </w:r>
  </w:p>
  <w:p w:rsidR="00083CA6" w:rsidRDefault="00083CA6">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CA6" w:rsidRPr="00A15B61" w:rsidRDefault="00B6066F" w:rsidP="00BC65E1">
    <w:pPr>
      <w:pStyle w:val="Footer"/>
      <w:framePr w:wrap="around" w:vAnchor="text" w:hAnchor="margin" w:xAlign="right" w:y="1"/>
      <w:rPr>
        <w:rStyle w:val="PageNumber"/>
      </w:rPr>
    </w:pPr>
    <w:r w:rsidRPr="00A15B61">
      <w:rPr>
        <w:rStyle w:val="PageNumber"/>
        <w:szCs w:val="20"/>
      </w:rPr>
      <w:fldChar w:fldCharType="begin"/>
    </w:r>
    <w:r w:rsidR="00083CA6">
      <w:rPr>
        <w:rStyle w:val="PageNumber"/>
        <w:szCs w:val="20"/>
      </w:rPr>
      <w:instrText>PAGE</w:instrText>
    </w:r>
    <w:r w:rsidR="00083CA6" w:rsidRPr="00A15B61">
      <w:rPr>
        <w:rStyle w:val="PageNumber"/>
        <w:szCs w:val="20"/>
      </w:rPr>
      <w:instrText xml:space="preserve">  </w:instrText>
    </w:r>
    <w:r w:rsidRPr="00A15B61">
      <w:rPr>
        <w:rStyle w:val="PageNumber"/>
        <w:szCs w:val="20"/>
      </w:rPr>
      <w:fldChar w:fldCharType="separate"/>
    </w:r>
    <w:r w:rsidR="00E9293F">
      <w:rPr>
        <w:rStyle w:val="PageNumber"/>
        <w:noProof/>
        <w:szCs w:val="20"/>
      </w:rPr>
      <w:t>1</w:t>
    </w:r>
    <w:r w:rsidRPr="00A15B61">
      <w:rPr>
        <w:rStyle w:val="PageNumber"/>
        <w:szCs w:val="20"/>
      </w:rPr>
      <w:fldChar w:fldCharType="end"/>
    </w:r>
  </w:p>
  <w:p w:rsidR="00083CA6" w:rsidRPr="00A15B61" w:rsidRDefault="00083CA6"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CA6" w:rsidRPr="00A15B61" w:rsidRDefault="00B6066F" w:rsidP="00BC65E1">
    <w:pPr>
      <w:pStyle w:val="Footer"/>
      <w:framePr w:wrap="around" w:vAnchor="text" w:hAnchor="margin" w:xAlign="right" w:y="1"/>
      <w:rPr>
        <w:rStyle w:val="PageNumber"/>
      </w:rPr>
    </w:pPr>
    <w:r w:rsidRPr="00A15B61">
      <w:rPr>
        <w:rStyle w:val="PageNumber"/>
        <w:szCs w:val="20"/>
      </w:rPr>
      <w:fldChar w:fldCharType="begin"/>
    </w:r>
    <w:r w:rsidR="00083CA6">
      <w:rPr>
        <w:rStyle w:val="PageNumber"/>
        <w:szCs w:val="20"/>
      </w:rPr>
      <w:instrText>PAGE</w:instrText>
    </w:r>
    <w:r w:rsidR="00083CA6" w:rsidRPr="00A15B61">
      <w:rPr>
        <w:rStyle w:val="PageNumber"/>
        <w:szCs w:val="20"/>
      </w:rPr>
      <w:instrText xml:space="preserve">  </w:instrText>
    </w:r>
    <w:r w:rsidRPr="00A15B61">
      <w:rPr>
        <w:rStyle w:val="PageNumber"/>
        <w:szCs w:val="20"/>
      </w:rPr>
      <w:fldChar w:fldCharType="separate"/>
    </w:r>
    <w:r w:rsidR="00E9293F">
      <w:rPr>
        <w:rStyle w:val="PageNumber"/>
        <w:noProof/>
        <w:szCs w:val="20"/>
      </w:rPr>
      <w:t>16</w:t>
    </w:r>
    <w:r w:rsidRPr="00A15B61">
      <w:rPr>
        <w:rStyle w:val="PageNumber"/>
        <w:szCs w:val="20"/>
      </w:rPr>
      <w:fldChar w:fldCharType="end"/>
    </w:r>
  </w:p>
  <w:p w:rsidR="00083CA6" w:rsidRPr="00A15B61" w:rsidRDefault="00083CA6"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4A6C" w:rsidRDefault="00644A6C">
      <w:r>
        <w:separator/>
      </w:r>
    </w:p>
  </w:footnote>
  <w:footnote w:type="continuationSeparator" w:id="0">
    <w:p w:rsidR="00644A6C" w:rsidRDefault="00644A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CA6" w:rsidRDefault="00B6066F">
    <w:pPr>
      <w:pStyle w:val="Header"/>
    </w:pPr>
    <w:r w:rsidRPr="00B6066F">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083CA6" w:rsidRDefault="00083CA6"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083CA6" w:rsidRPr="00721B03" w:rsidRDefault="00083CA6"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083CA6">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CA6" w:rsidRDefault="00083CA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10DE4"/>
    <w:rsid w:val="00011481"/>
    <w:rsid w:val="00011C3D"/>
    <w:rsid w:val="00012892"/>
    <w:rsid w:val="00014F20"/>
    <w:rsid w:val="00016919"/>
    <w:rsid w:val="00016B50"/>
    <w:rsid w:val="000172BC"/>
    <w:rsid w:val="00020978"/>
    <w:rsid w:val="0002197F"/>
    <w:rsid w:val="00021A06"/>
    <w:rsid w:val="00026AEB"/>
    <w:rsid w:val="00031AEC"/>
    <w:rsid w:val="00032745"/>
    <w:rsid w:val="000372A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3390"/>
    <w:rsid w:val="00073957"/>
    <w:rsid w:val="00073BFF"/>
    <w:rsid w:val="00077C32"/>
    <w:rsid w:val="000812A6"/>
    <w:rsid w:val="00083607"/>
    <w:rsid w:val="00083CA6"/>
    <w:rsid w:val="00084B21"/>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3299"/>
    <w:rsid w:val="000D4768"/>
    <w:rsid w:val="000D57C9"/>
    <w:rsid w:val="000D7CC4"/>
    <w:rsid w:val="000E6CC8"/>
    <w:rsid w:val="000E76EB"/>
    <w:rsid w:val="000F1916"/>
    <w:rsid w:val="000F1BA2"/>
    <w:rsid w:val="000F2140"/>
    <w:rsid w:val="00104631"/>
    <w:rsid w:val="00105B9D"/>
    <w:rsid w:val="00112060"/>
    <w:rsid w:val="001120BB"/>
    <w:rsid w:val="00112693"/>
    <w:rsid w:val="0011785C"/>
    <w:rsid w:val="0012533B"/>
    <w:rsid w:val="001260F4"/>
    <w:rsid w:val="00127104"/>
    <w:rsid w:val="00131060"/>
    <w:rsid w:val="00132FDD"/>
    <w:rsid w:val="00133602"/>
    <w:rsid w:val="00134DC7"/>
    <w:rsid w:val="0013600B"/>
    <w:rsid w:val="00147567"/>
    <w:rsid w:val="001507D7"/>
    <w:rsid w:val="00150A5A"/>
    <w:rsid w:val="00150FCB"/>
    <w:rsid w:val="00151954"/>
    <w:rsid w:val="00152974"/>
    <w:rsid w:val="00153108"/>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2D03"/>
    <w:rsid w:val="001B300C"/>
    <w:rsid w:val="001B6A94"/>
    <w:rsid w:val="001C043A"/>
    <w:rsid w:val="001C0C1D"/>
    <w:rsid w:val="001C0F06"/>
    <w:rsid w:val="001C4CA6"/>
    <w:rsid w:val="001C7488"/>
    <w:rsid w:val="001C7CD0"/>
    <w:rsid w:val="001D0F57"/>
    <w:rsid w:val="001D187B"/>
    <w:rsid w:val="001D3889"/>
    <w:rsid w:val="001D594F"/>
    <w:rsid w:val="001E0ECB"/>
    <w:rsid w:val="001E2507"/>
    <w:rsid w:val="001E4F95"/>
    <w:rsid w:val="001E5F4A"/>
    <w:rsid w:val="001F0A8E"/>
    <w:rsid w:val="001F236D"/>
    <w:rsid w:val="001F5D67"/>
    <w:rsid w:val="002004FA"/>
    <w:rsid w:val="00200704"/>
    <w:rsid w:val="00203AA7"/>
    <w:rsid w:val="00207B3F"/>
    <w:rsid w:val="0021343D"/>
    <w:rsid w:val="00213A52"/>
    <w:rsid w:val="002146DB"/>
    <w:rsid w:val="0022077E"/>
    <w:rsid w:val="00220A8C"/>
    <w:rsid w:val="0022131B"/>
    <w:rsid w:val="002214A4"/>
    <w:rsid w:val="00221A45"/>
    <w:rsid w:val="00223DE3"/>
    <w:rsid w:val="00224D5E"/>
    <w:rsid w:val="002250F3"/>
    <w:rsid w:val="00227652"/>
    <w:rsid w:val="002371D8"/>
    <w:rsid w:val="00253237"/>
    <w:rsid w:val="0025373C"/>
    <w:rsid w:val="002605E0"/>
    <w:rsid w:val="0026077F"/>
    <w:rsid w:val="00264534"/>
    <w:rsid w:val="00264B99"/>
    <w:rsid w:val="00265996"/>
    <w:rsid w:val="00276DA6"/>
    <w:rsid w:val="00281A82"/>
    <w:rsid w:val="00282854"/>
    <w:rsid w:val="00285BF3"/>
    <w:rsid w:val="002923B9"/>
    <w:rsid w:val="00293ABA"/>
    <w:rsid w:val="00293DE9"/>
    <w:rsid w:val="00294042"/>
    <w:rsid w:val="002949F4"/>
    <w:rsid w:val="002977F3"/>
    <w:rsid w:val="002A0221"/>
    <w:rsid w:val="002A0E97"/>
    <w:rsid w:val="002A15B2"/>
    <w:rsid w:val="002A2C96"/>
    <w:rsid w:val="002A6AE9"/>
    <w:rsid w:val="002A7776"/>
    <w:rsid w:val="002B1929"/>
    <w:rsid w:val="002B51CA"/>
    <w:rsid w:val="002B71A8"/>
    <w:rsid w:val="002C06ED"/>
    <w:rsid w:val="002C2CBC"/>
    <w:rsid w:val="002C4473"/>
    <w:rsid w:val="002C7307"/>
    <w:rsid w:val="002C780D"/>
    <w:rsid w:val="002D1443"/>
    <w:rsid w:val="002D3185"/>
    <w:rsid w:val="002D5B13"/>
    <w:rsid w:val="002E0490"/>
    <w:rsid w:val="002E20E5"/>
    <w:rsid w:val="002E529A"/>
    <w:rsid w:val="002E619E"/>
    <w:rsid w:val="002F1D75"/>
    <w:rsid w:val="002F4B38"/>
    <w:rsid w:val="002F713F"/>
    <w:rsid w:val="00303833"/>
    <w:rsid w:val="00304555"/>
    <w:rsid w:val="00304A46"/>
    <w:rsid w:val="003052B2"/>
    <w:rsid w:val="0030699A"/>
    <w:rsid w:val="00315A60"/>
    <w:rsid w:val="00322B33"/>
    <w:rsid w:val="003253E2"/>
    <w:rsid w:val="003351B4"/>
    <w:rsid w:val="00337519"/>
    <w:rsid w:val="00337872"/>
    <w:rsid w:val="00340D55"/>
    <w:rsid w:val="00344591"/>
    <w:rsid w:val="003445A4"/>
    <w:rsid w:val="00351255"/>
    <w:rsid w:val="00351563"/>
    <w:rsid w:val="003526D5"/>
    <w:rsid w:val="00352B1D"/>
    <w:rsid w:val="00352D76"/>
    <w:rsid w:val="00353B5C"/>
    <w:rsid w:val="0035504D"/>
    <w:rsid w:val="00362CD8"/>
    <w:rsid w:val="00362D4C"/>
    <w:rsid w:val="00371DBA"/>
    <w:rsid w:val="00373AFF"/>
    <w:rsid w:val="0037440D"/>
    <w:rsid w:val="003756E3"/>
    <w:rsid w:val="00376B51"/>
    <w:rsid w:val="00383954"/>
    <w:rsid w:val="00384F28"/>
    <w:rsid w:val="003860B2"/>
    <w:rsid w:val="00391559"/>
    <w:rsid w:val="00391CD5"/>
    <w:rsid w:val="00392914"/>
    <w:rsid w:val="0039373B"/>
    <w:rsid w:val="00396D72"/>
    <w:rsid w:val="00397CB9"/>
    <w:rsid w:val="003A016A"/>
    <w:rsid w:val="003A27BC"/>
    <w:rsid w:val="003A2F36"/>
    <w:rsid w:val="003A3D80"/>
    <w:rsid w:val="003A6832"/>
    <w:rsid w:val="003B096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2212"/>
    <w:rsid w:val="0042391C"/>
    <w:rsid w:val="0042502E"/>
    <w:rsid w:val="00433090"/>
    <w:rsid w:val="004353CB"/>
    <w:rsid w:val="0044029A"/>
    <w:rsid w:val="00443CD7"/>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C764D"/>
    <w:rsid w:val="004D16AD"/>
    <w:rsid w:val="004D2437"/>
    <w:rsid w:val="004D6E70"/>
    <w:rsid w:val="004E11D0"/>
    <w:rsid w:val="004E39BD"/>
    <w:rsid w:val="004E3B1D"/>
    <w:rsid w:val="004F0F17"/>
    <w:rsid w:val="004F26B8"/>
    <w:rsid w:val="004F4013"/>
    <w:rsid w:val="004F6946"/>
    <w:rsid w:val="005023B0"/>
    <w:rsid w:val="00502D0D"/>
    <w:rsid w:val="00502E0A"/>
    <w:rsid w:val="00504DC1"/>
    <w:rsid w:val="00505959"/>
    <w:rsid w:val="005070C8"/>
    <w:rsid w:val="00511059"/>
    <w:rsid w:val="005131EA"/>
    <w:rsid w:val="0051379B"/>
    <w:rsid w:val="00524215"/>
    <w:rsid w:val="00526E5A"/>
    <w:rsid w:val="005322AA"/>
    <w:rsid w:val="00541834"/>
    <w:rsid w:val="0054220D"/>
    <w:rsid w:val="005423A5"/>
    <w:rsid w:val="005433C5"/>
    <w:rsid w:val="00545F8A"/>
    <w:rsid w:val="005463AC"/>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5FC4"/>
    <w:rsid w:val="005A73D9"/>
    <w:rsid w:val="005A7DFC"/>
    <w:rsid w:val="005B3722"/>
    <w:rsid w:val="005B6FFD"/>
    <w:rsid w:val="005C108D"/>
    <w:rsid w:val="005C58DE"/>
    <w:rsid w:val="005C6D17"/>
    <w:rsid w:val="005D06A5"/>
    <w:rsid w:val="005D0C21"/>
    <w:rsid w:val="005D1921"/>
    <w:rsid w:val="005D2D0B"/>
    <w:rsid w:val="005D53EE"/>
    <w:rsid w:val="005D621D"/>
    <w:rsid w:val="005D78FE"/>
    <w:rsid w:val="005E463C"/>
    <w:rsid w:val="005E4E4C"/>
    <w:rsid w:val="005E6290"/>
    <w:rsid w:val="005F24DD"/>
    <w:rsid w:val="005F7BDC"/>
    <w:rsid w:val="0060091E"/>
    <w:rsid w:val="00602C6E"/>
    <w:rsid w:val="00610DAB"/>
    <w:rsid w:val="0061660C"/>
    <w:rsid w:val="00616DE9"/>
    <w:rsid w:val="0061757F"/>
    <w:rsid w:val="00632676"/>
    <w:rsid w:val="006326AB"/>
    <w:rsid w:val="00633FE2"/>
    <w:rsid w:val="00643649"/>
    <w:rsid w:val="006441ED"/>
    <w:rsid w:val="00644A6C"/>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762"/>
    <w:rsid w:val="006A17A6"/>
    <w:rsid w:val="006A30AF"/>
    <w:rsid w:val="006A3291"/>
    <w:rsid w:val="006A5610"/>
    <w:rsid w:val="006A5F96"/>
    <w:rsid w:val="006A7FE2"/>
    <w:rsid w:val="006B48FD"/>
    <w:rsid w:val="006B59A1"/>
    <w:rsid w:val="006C481B"/>
    <w:rsid w:val="006D0750"/>
    <w:rsid w:val="006D18CA"/>
    <w:rsid w:val="006D26C2"/>
    <w:rsid w:val="006D3D3E"/>
    <w:rsid w:val="006D4D0B"/>
    <w:rsid w:val="006D5157"/>
    <w:rsid w:val="006D5350"/>
    <w:rsid w:val="006D6890"/>
    <w:rsid w:val="006E1A6B"/>
    <w:rsid w:val="006E4366"/>
    <w:rsid w:val="006E5E38"/>
    <w:rsid w:val="006E618B"/>
    <w:rsid w:val="006F0BC4"/>
    <w:rsid w:val="006F222E"/>
    <w:rsid w:val="006F49F1"/>
    <w:rsid w:val="006F4E16"/>
    <w:rsid w:val="00702CB8"/>
    <w:rsid w:val="00707885"/>
    <w:rsid w:val="0071023A"/>
    <w:rsid w:val="007107A7"/>
    <w:rsid w:val="007119D4"/>
    <w:rsid w:val="00712430"/>
    <w:rsid w:val="007153BD"/>
    <w:rsid w:val="00716E65"/>
    <w:rsid w:val="007172A4"/>
    <w:rsid w:val="007244F6"/>
    <w:rsid w:val="00724928"/>
    <w:rsid w:val="00725832"/>
    <w:rsid w:val="00726D46"/>
    <w:rsid w:val="00732C90"/>
    <w:rsid w:val="007370BC"/>
    <w:rsid w:val="007375D5"/>
    <w:rsid w:val="007423B2"/>
    <w:rsid w:val="007456E2"/>
    <w:rsid w:val="00745DBA"/>
    <w:rsid w:val="00747707"/>
    <w:rsid w:val="00761029"/>
    <w:rsid w:val="0076148F"/>
    <w:rsid w:val="007656EC"/>
    <w:rsid w:val="00770B59"/>
    <w:rsid w:val="00771843"/>
    <w:rsid w:val="00773271"/>
    <w:rsid w:val="0077695D"/>
    <w:rsid w:val="0078171A"/>
    <w:rsid w:val="00782183"/>
    <w:rsid w:val="0078318F"/>
    <w:rsid w:val="007831EE"/>
    <w:rsid w:val="00783B76"/>
    <w:rsid w:val="00783F35"/>
    <w:rsid w:val="007842F4"/>
    <w:rsid w:val="00787861"/>
    <w:rsid w:val="00791D68"/>
    <w:rsid w:val="0079272B"/>
    <w:rsid w:val="007949EF"/>
    <w:rsid w:val="0079633F"/>
    <w:rsid w:val="007963F9"/>
    <w:rsid w:val="0079657F"/>
    <w:rsid w:val="00796C3C"/>
    <w:rsid w:val="00797BEC"/>
    <w:rsid w:val="007A48EF"/>
    <w:rsid w:val="007A4E31"/>
    <w:rsid w:val="007A508C"/>
    <w:rsid w:val="007A5C06"/>
    <w:rsid w:val="007A5D52"/>
    <w:rsid w:val="007A5E35"/>
    <w:rsid w:val="007B19A0"/>
    <w:rsid w:val="007B59B6"/>
    <w:rsid w:val="007B7ADB"/>
    <w:rsid w:val="007C52E9"/>
    <w:rsid w:val="007E2555"/>
    <w:rsid w:val="007E3756"/>
    <w:rsid w:val="007F16DF"/>
    <w:rsid w:val="007F2A06"/>
    <w:rsid w:val="007F3142"/>
    <w:rsid w:val="00802A35"/>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71839"/>
    <w:rsid w:val="00874A95"/>
    <w:rsid w:val="00875551"/>
    <w:rsid w:val="00876AC8"/>
    <w:rsid w:val="00880149"/>
    <w:rsid w:val="008829C7"/>
    <w:rsid w:val="00882F9C"/>
    <w:rsid w:val="00885028"/>
    <w:rsid w:val="00885685"/>
    <w:rsid w:val="00886C11"/>
    <w:rsid w:val="00886CED"/>
    <w:rsid w:val="00891455"/>
    <w:rsid w:val="0089569C"/>
    <w:rsid w:val="00895E5B"/>
    <w:rsid w:val="00896802"/>
    <w:rsid w:val="008A3B96"/>
    <w:rsid w:val="008A63DF"/>
    <w:rsid w:val="008A68FF"/>
    <w:rsid w:val="008B1002"/>
    <w:rsid w:val="008B2C0A"/>
    <w:rsid w:val="008B582B"/>
    <w:rsid w:val="008B5BDF"/>
    <w:rsid w:val="008C2F7B"/>
    <w:rsid w:val="008C37DF"/>
    <w:rsid w:val="008C5656"/>
    <w:rsid w:val="008C7A02"/>
    <w:rsid w:val="008C7EA6"/>
    <w:rsid w:val="008D0268"/>
    <w:rsid w:val="008D1558"/>
    <w:rsid w:val="008D1BDD"/>
    <w:rsid w:val="008D2417"/>
    <w:rsid w:val="008D2779"/>
    <w:rsid w:val="008D3E90"/>
    <w:rsid w:val="008D4CB6"/>
    <w:rsid w:val="008D7746"/>
    <w:rsid w:val="008E033C"/>
    <w:rsid w:val="008E146A"/>
    <w:rsid w:val="008E24D2"/>
    <w:rsid w:val="008E385E"/>
    <w:rsid w:val="008E4D86"/>
    <w:rsid w:val="008E6B67"/>
    <w:rsid w:val="008F3EE5"/>
    <w:rsid w:val="008F6322"/>
    <w:rsid w:val="008F7203"/>
    <w:rsid w:val="00901928"/>
    <w:rsid w:val="00903E4D"/>
    <w:rsid w:val="00905001"/>
    <w:rsid w:val="00906A2B"/>
    <w:rsid w:val="009116A2"/>
    <w:rsid w:val="00911A6A"/>
    <w:rsid w:val="0091343C"/>
    <w:rsid w:val="00913874"/>
    <w:rsid w:val="00921D38"/>
    <w:rsid w:val="00923502"/>
    <w:rsid w:val="0092562C"/>
    <w:rsid w:val="00927D4F"/>
    <w:rsid w:val="00931A61"/>
    <w:rsid w:val="0093778A"/>
    <w:rsid w:val="0094059F"/>
    <w:rsid w:val="00943F1C"/>
    <w:rsid w:val="00946375"/>
    <w:rsid w:val="00951B33"/>
    <w:rsid w:val="00952C12"/>
    <w:rsid w:val="009540EB"/>
    <w:rsid w:val="009607D7"/>
    <w:rsid w:val="00962847"/>
    <w:rsid w:val="00971C9B"/>
    <w:rsid w:val="009727D3"/>
    <w:rsid w:val="009729A4"/>
    <w:rsid w:val="00973416"/>
    <w:rsid w:val="00974016"/>
    <w:rsid w:val="00974649"/>
    <w:rsid w:val="00977AED"/>
    <w:rsid w:val="00983AB6"/>
    <w:rsid w:val="009916F1"/>
    <w:rsid w:val="0099613A"/>
    <w:rsid w:val="0099621B"/>
    <w:rsid w:val="00997518"/>
    <w:rsid w:val="009A2D48"/>
    <w:rsid w:val="009A379F"/>
    <w:rsid w:val="009A768F"/>
    <w:rsid w:val="009A7921"/>
    <w:rsid w:val="009B2BE6"/>
    <w:rsid w:val="009B4050"/>
    <w:rsid w:val="009B488B"/>
    <w:rsid w:val="009B592C"/>
    <w:rsid w:val="009B6DF0"/>
    <w:rsid w:val="009C0409"/>
    <w:rsid w:val="009C12E9"/>
    <w:rsid w:val="009C1740"/>
    <w:rsid w:val="009D1667"/>
    <w:rsid w:val="009D1D06"/>
    <w:rsid w:val="009D22EC"/>
    <w:rsid w:val="009D2E8A"/>
    <w:rsid w:val="009D35E3"/>
    <w:rsid w:val="009D3B18"/>
    <w:rsid w:val="009D3F39"/>
    <w:rsid w:val="009D457D"/>
    <w:rsid w:val="009D681C"/>
    <w:rsid w:val="009D6C94"/>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051E6"/>
    <w:rsid w:val="00A06AEA"/>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57AA"/>
    <w:rsid w:val="00A45F1B"/>
    <w:rsid w:val="00A46196"/>
    <w:rsid w:val="00A47168"/>
    <w:rsid w:val="00A55855"/>
    <w:rsid w:val="00A61620"/>
    <w:rsid w:val="00A62876"/>
    <w:rsid w:val="00A7369A"/>
    <w:rsid w:val="00A73F5F"/>
    <w:rsid w:val="00A76236"/>
    <w:rsid w:val="00A76F72"/>
    <w:rsid w:val="00A91FBB"/>
    <w:rsid w:val="00A9486C"/>
    <w:rsid w:val="00A967C7"/>
    <w:rsid w:val="00A9708D"/>
    <w:rsid w:val="00AA2C67"/>
    <w:rsid w:val="00AA4952"/>
    <w:rsid w:val="00AA5486"/>
    <w:rsid w:val="00AB0F46"/>
    <w:rsid w:val="00AB16F9"/>
    <w:rsid w:val="00AB23D7"/>
    <w:rsid w:val="00AB243A"/>
    <w:rsid w:val="00AB5BB9"/>
    <w:rsid w:val="00AB6431"/>
    <w:rsid w:val="00AC24F7"/>
    <w:rsid w:val="00AC3144"/>
    <w:rsid w:val="00AC52D7"/>
    <w:rsid w:val="00AC7369"/>
    <w:rsid w:val="00AD1095"/>
    <w:rsid w:val="00AD5E29"/>
    <w:rsid w:val="00AD6766"/>
    <w:rsid w:val="00AE367B"/>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763C"/>
    <w:rsid w:val="00B27F58"/>
    <w:rsid w:val="00B31866"/>
    <w:rsid w:val="00B3257D"/>
    <w:rsid w:val="00B328F8"/>
    <w:rsid w:val="00B418C0"/>
    <w:rsid w:val="00B43B1B"/>
    <w:rsid w:val="00B45029"/>
    <w:rsid w:val="00B472A4"/>
    <w:rsid w:val="00B47314"/>
    <w:rsid w:val="00B47B1B"/>
    <w:rsid w:val="00B47EEE"/>
    <w:rsid w:val="00B516A8"/>
    <w:rsid w:val="00B51A9A"/>
    <w:rsid w:val="00B54542"/>
    <w:rsid w:val="00B55DC5"/>
    <w:rsid w:val="00B57F87"/>
    <w:rsid w:val="00B57FCF"/>
    <w:rsid w:val="00B601F1"/>
    <w:rsid w:val="00B6026B"/>
    <w:rsid w:val="00B6066F"/>
    <w:rsid w:val="00B61D5A"/>
    <w:rsid w:val="00B7058E"/>
    <w:rsid w:val="00B728C8"/>
    <w:rsid w:val="00B75224"/>
    <w:rsid w:val="00B757EC"/>
    <w:rsid w:val="00B77BD4"/>
    <w:rsid w:val="00B82E7B"/>
    <w:rsid w:val="00B85450"/>
    <w:rsid w:val="00B85AA5"/>
    <w:rsid w:val="00B8613C"/>
    <w:rsid w:val="00B872B1"/>
    <w:rsid w:val="00B92683"/>
    <w:rsid w:val="00B92990"/>
    <w:rsid w:val="00B9562C"/>
    <w:rsid w:val="00B969F0"/>
    <w:rsid w:val="00BA0117"/>
    <w:rsid w:val="00BA05C6"/>
    <w:rsid w:val="00BA1233"/>
    <w:rsid w:val="00BA161A"/>
    <w:rsid w:val="00BA5459"/>
    <w:rsid w:val="00BA5775"/>
    <w:rsid w:val="00BA5AB5"/>
    <w:rsid w:val="00BA651D"/>
    <w:rsid w:val="00BB0091"/>
    <w:rsid w:val="00BB0721"/>
    <w:rsid w:val="00BB611A"/>
    <w:rsid w:val="00BB6D17"/>
    <w:rsid w:val="00BB7245"/>
    <w:rsid w:val="00BB7570"/>
    <w:rsid w:val="00BC0D80"/>
    <w:rsid w:val="00BC0E15"/>
    <w:rsid w:val="00BC1396"/>
    <w:rsid w:val="00BC2C94"/>
    <w:rsid w:val="00BC42C7"/>
    <w:rsid w:val="00BC49D2"/>
    <w:rsid w:val="00BC5E43"/>
    <w:rsid w:val="00BC65E1"/>
    <w:rsid w:val="00BC6C0D"/>
    <w:rsid w:val="00BC6DBF"/>
    <w:rsid w:val="00BC7B26"/>
    <w:rsid w:val="00BD051A"/>
    <w:rsid w:val="00BD5673"/>
    <w:rsid w:val="00BE0557"/>
    <w:rsid w:val="00BE188E"/>
    <w:rsid w:val="00BE223D"/>
    <w:rsid w:val="00BE4274"/>
    <w:rsid w:val="00BE5677"/>
    <w:rsid w:val="00BE6599"/>
    <w:rsid w:val="00BF378B"/>
    <w:rsid w:val="00BF3C62"/>
    <w:rsid w:val="00BF56C7"/>
    <w:rsid w:val="00C00C96"/>
    <w:rsid w:val="00C019EF"/>
    <w:rsid w:val="00C02E44"/>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3570D"/>
    <w:rsid w:val="00C421CA"/>
    <w:rsid w:val="00C46385"/>
    <w:rsid w:val="00C5084D"/>
    <w:rsid w:val="00C508D6"/>
    <w:rsid w:val="00C51A75"/>
    <w:rsid w:val="00C520E9"/>
    <w:rsid w:val="00C5255D"/>
    <w:rsid w:val="00C52AD9"/>
    <w:rsid w:val="00C603EB"/>
    <w:rsid w:val="00C664BB"/>
    <w:rsid w:val="00C675CC"/>
    <w:rsid w:val="00C7069F"/>
    <w:rsid w:val="00C71718"/>
    <w:rsid w:val="00C7538F"/>
    <w:rsid w:val="00C76A20"/>
    <w:rsid w:val="00C77C7E"/>
    <w:rsid w:val="00C77D2A"/>
    <w:rsid w:val="00C809FF"/>
    <w:rsid w:val="00C86C99"/>
    <w:rsid w:val="00C90773"/>
    <w:rsid w:val="00C9580A"/>
    <w:rsid w:val="00C9704F"/>
    <w:rsid w:val="00CA207A"/>
    <w:rsid w:val="00CA3C33"/>
    <w:rsid w:val="00CA4369"/>
    <w:rsid w:val="00CA6583"/>
    <w:rsid w:val="00CB28C9"/>
    <w:rsid w:val="00CB672B"/>
    <w:rsid w:val="00CB7211"/>
    <w:rsid w:val="00CC1A98"/>
    <w:rsid w:val="00CC6723"/>
    <w:rsid w:val="00CC7EC5"/>
    <w:rsid w:val="00CD45BE"/>
    <w:rsid w:val="00CD642B"/>
    <w:rsid w:val="00CD6A77"/>
    <w:rsid w:val="00CD6FEB"/>
    <w:rsid w:val="00CE4087"/>
    <w:rsid w:val="00CE61D3"/>
    <w:rsid w:val="00CE67DD"/>
    <w:rsid w:val="00CF4683"/>
    <w:rsid w:val="00CF5258"/>
    <w:rsid w:val="00CF7148"/>
    <w:rsid w:val="00D007DE"/>
    <w:rsid w:val="00D017A7"/>
    <w:rsid w:val="00D01EF1"/>
    <w:rsid w:val="00D0245E"/>
    <w:rsid w:val="00D0259D"/>
    <w:rsid w:val="00D03DB3"/>
    <w:rsid w:val="00D047DC"/>
    <w:rsid w:val="00D04DA5"/>
    <w:rsid w:val="00D05AFF"/>
    <w:rsid w:val="00D06C03"/>
    <w:rsid w:val="00D10A4C"/>
    <w:rsid w:val="00D10F21"/>
    <w:rsid w:val="00D11BBC"/>
    <w:rsid w:val="00D13EF1"/>
    <w:rsid w:val="00D144A8"/>
    <w:rsid w:val="00D15D08"/>
    <w:rsid w:val="00D205A6"/>
    <w:rsid w:val="00D20C8C"/>
    <w:rsid w:val="00D21D29"/>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3E17"/>
    <w:rsid w:val="00D54869"/>
    <w:rsid w:val="00D67AFE"/>
    <w:rsid w:val="00D72C5E"/>
    <w:rsid w:val="00D74BD3"/>
    <w:rsid w:val="00D77200"/>
    <w:rsid w:val="00D81724"/>
    <w:rsid w:val="00D8210F"/>
    <w:rsid w:val="00D83C64"/>
    <w:rsid w:val="00D94F5F"/>
    <w:rsid w:val="00DA04B4"/>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C7430"/>
    <w:rsid w:val="00DD0539"/>
    <w:rsid w:val="00DD5DDA"/>
    <w:rsid w:val="00DE0D99"/>
    <w:rsid w:val="00DE3E55"/>
    <w:rsid w:val="00DE584B"/>
    <w:rsid w:val="00DF22D8"/>
    <w:rsid w:val="00DF76E3"/>
    <w:rsid w:val="00E02024"/>
    <w:rsid w:val="00E03013"/>
    <w:rsid w:val="00E03104"/>
    <w:rsid w:val="00E03ABA"/>
    <w:rsid w:val="00E04EC2"/>
    <w:rsid w:val="00E10213"/>
    <w:rsid w:val="00E108F5"/>
    <w:rsid w:val="00E117FA"/>
    <w:rsid w:val="00E11808"/>
    <w:rsid w:val="00E11F16"/>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9F6"/>
    <w:rsid w:val="00E57FE0"/>
    <w:rsid w:val="00E613A3"/>
    <w:rsid w:val="00E621AC"/>
    <w:rsid w:val="00E6468A"/>
    <w:rsid w:val="00E701B2"/>
    <w:rsid w:val="00E709E6"/>
    <w:rsid w:val="00E70AEC"/>
    <w:rsid w:val="00E71207"/>
    <w:rsid w:val="00E71AAB"/>
    <w:rsid w:val="00E727A7"/>
    <w:rsid w:val="00E73444"/>
    <w:rsid w:val="00E742A9"/>
    <w:rsid w:val="00E746F4"/>
    <w:rsid w:val="00E77F26"/>
    <w:rsid w:val="00E855FF"/>
    <w:rsid w:val="00E9293F"/>
    <w:rsid w:val="00E93CA8"/>
    <w:rsid w:val="00E97A65"/>
    <w:rsid w:val="00EA0FFC"/>
    <w:rsid w:val="00EA337F"/>
    <w:rsid w:val="00EA5A90"/>
    <w:rsid w:val="00EB092A"/>
    <w:rsid w:val="00EB19B2"/>
    <w:rsid w:val="00EB1FF2"/>
    <w:rsid w:val="00EB5570"/>
    <w:rsid w:val="00EB6387"/>
    <w:rsid w:val="00EB7D50"/>
    <w:rsid w:val="00EC4562"/>
    <w:rsid w:val="00EC6878"/>
    <w:rsid w:val="00ED077F"/>
    <w:rsid w:val="00ED236B"/>
    <w:rsid w:val="00ED58B7"/>
    <w:rsid w:val="00ED5923"/>
    <w:rsid w:val="00EE082D"/>
    <w:rsid w:val="00EE2B02"/>
    <w:rsid w:val="00EE31B3"/>
    <w:rsid w:val="00EE392C"/>
    <w:rsid w:val="00EF11A3"/>
    <w:rsid w:val="00EF6DEE"/>
    <w:rsid w:val="00F023B8"/>
    <w:rsid w:val="00F10068"/>
    <w:rsid w:val="00F11DC3"/>
    <w:rsid w:val="00F158C5"/>
    <w:rsid w:val="00F20E21"/>
    <w:rsid w:val="00F212C3"/>
    <w:rsid w:val="00F252AD"/>
    <w:rsid w:val="00F30951"/>
    <w:rsid w:val="00F320EF"/>
    <w:rsid w:val="00F3218A"/>
    <w:rsid w:val="00F34787"/>
    <w:rsid w:val="00F358CB"/>
    <w:rsid w:val="00F405D2"/>
    <w:rsid w:val="00F47743"/>
    <w:rsid w:val="00F519FB"/>
    <w:rsid w:val="00F54E2D"/>
    <w:rsid w:val="00F57119"/>
    <w:rsid w:val="00F60CB5"/>
    <w:rsid w:val="00F61F80"/>
    <w:rsid w:val="00F70635"/>
    <w:rsid w:val="00F738B9"/>
    <w:rsid w:val="00F74241"/>
    <w:rsid w:val="00F77048"/>
    <w:rsid w:val="00F77867"/>
    <w:rsid w:val="00F77A11"/>
    <w:rsid w:val="00F77AD1"/>
    <w:rsid w:val="00F804D1"/>
    <w:rsid w:val="00F80CF3"/>
    <w:rsid w:val="00F81275"/>
    <w:rsid w:val="00F8766A"/>
    <w:rsid w:val="00F92391"/>
    <w:rsid w:val="00F93F7B"/>
    <w:rsid w:val="00FA0267"/>
    <w:rsid w:val="00FA1FBB"/>
    <w:rsid w:val="00FB3AD9"/>
    <w:rsid w:val="00FC08B7"/>
    <w:rsid w:val="00FC2270"/>
    <w:rsid w:val="00FC5035"/>
    <w:rsid w:val="00FC6A8F"/>
    <w:rsid w:val="00FD413B"/>
    <w:rsid w:val="00FD4E3A"/>
    <w:rsid w:val="00FD54FE"/>
    <w:rsid w:val="00FD6260"/>
    <w:rsid w:val="00FD70D0"/>
    <w:rsid w:val="00FE7D95"/>
    <w:rsid w:val="00FF3E1D"/>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721444873">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83457274">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218710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3.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DCCE21D-A33A-41FF-8CA0-35DC65079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2836</Words>
  <Characters>16171</Characters>
  <Application>Microsoft Office Word</Application>
  <DocSecurity>0</DocSecurity>
  <Lines>134</Lines>
  <Paragraphs>37</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18970</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15</cp:revision>
  <cp:lastPrinted>2012-11-10T09:54:00Z</cp:lastPrinted>
  <dcterms:created xsi:type="dcterms:W3CDTF">2012-11-20T10:17:00Z</dcterms:created>
  <dcterms:modified xsi:type="dcterms:W3CDTF">2012-11-27T13:13:00Z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