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680B22" w:rsidRDefault="00680B22" w:rsidP="00833DB0">
      <w:pPr>
        <w:spacing w:after="0" w:line="240" w:lineRule="auto"/>
        <w:rPr>
          <w:rFonts w:ascii="Arial" w:hAnsi="Arial" w:cs="Arial"/>
          <w:sz w:val="32"/>
          <w:szCs w:val="32"/>
          <w:lang w:val="en-US"/>
        </w:rPr>
      </w:pPr>
    </w:p>
    <w:p w:rsidR="005070C8" w:rsidRPr="00833DB0" w:rsidRDefault="008D0C5A" w:rsidP="00833DB0">
      <w:pPr>
        <w:spacing w:line="240" w:lineRule="auto"/>
        <w:ind w:left="-851"/>
        <w:jc w:val="center"/>
        <w:rPr>
          <w:rFonts w:ascii="Arial" w:hAnsi="Arial" w:cs="Arial"/>
          <w:sz w:val="40"/>
          <w:szCs w:val="40"/>
          <w:lang w:val="en-US"/>
        </w:rPr>
      </w:pPr>
      <w:r w:rsidRPr="00833DB0">
        <w:rPr>
          <w:rFonts w:ascii="Arial" w:hAnsi="Arial" w:cs="Arial"/>
          <w:sz w:val="40"/>
          <w:szCs w:val="40"/>
          <w:lang w:val="en-US"/>
        </w:rPr>
        <w:t xml:space="preserve">Poland </w:t>
      </w:r>
      <w:r w:rsidR="00833DB0" w:rsidRPr="00833DB0">
        <w:rPr>
          <w:rFonts w:ascii="Arial" w:hAnsi="Arial" w:cs="Arial"/>
          <w:sz w:val="40"/>
          <w:szCs w:val="40"/>
          <w:lang w:val="en-US"/>
        </w:rPr>
        <w:t>–</w:t>
      </w:r>
      <w:r w:rsidR="00833DB0">
        <w:rPr>
          <w:rFonts w:ascii="Arial" w:hAnsi="Arial" w:cs="Arial"/>
          <w:sz w:val="40"/>
          <w:szCs w:val="40"/>
          <w:lang w:val="en-US"/>
        </w:rPr>
        <w:t xml:space="preserve"> Slovak Republic</w:t>
      </w:r>
    </w:p>
    <w:p w:rsidR="00E613A3" w:rsidRDefault="008D0C5A"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610100" cy="5076825"/>
            <wp:effectExtent l="19050" t="0" r="0" b="0"/>
            <wp:docPr id="2" name="Bild 1" descr="P:\LU_2011_ESPON_TerrEvi_100269\03_Project development\Dani\Cover Maps\Poland - Slovak Republic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Poland - Slovak Republic CBC Programme.jpg"/>
                    <pic:cNvPicPr>
                      <a:picLocks noChangeAspect="1" noChangeArrowheads="1"/>
                    </pic:cNvPicPr>
                  </pic:nvPicPr>
                  <pic:blipFill>
                    <a:blip r:embed="rId11" cstate="print"/>
                    <a:srcRect/>
                    <a:stretch>
                      <a:fillRect/>
                    </a:stretch>
                  </pic:blipFill>
                  <pic:spPr bwMode="auto">
                    <a:xfrm>
                      <a:off x="0" y="0"/>
                      <a:ext cx="4610100" cy="507682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833DB0" w:rsidRDefault="00833DB0" w:rsidP="00833DB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833DB0" w:rsidRDefault="00833DB0" w:rsidP="00833DB0">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E87F75" w:rsidRPr="0085195F" w:rsidRDefault="000A647A" w:rsidP="00E87F75">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E87F75" w:rsidRPr="0085195F">
        <w:t>This is intended as an electronic publication so map quality is generally high to allow users to zoom into specific territories.</w:t>
      </w:r>
    </w:p>
    <w:p w:rsidR="000A647A" w:rsidRDefault="00E87F75" w:rsidP="00E87F75">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 xml:space="preserve">or population density. At the same time, the differences are also spelled out in the larger development trends that affect an </w:t>
      </w:r>
      <w:proofErr w:type="gramStart"/>
      <w:r>
        <w:t>area</w:t>
      </w:r>
      <w:r w:rsidR="00B2763C">
        <w:t>,</w:t>
      </w:r>
      <w:proofErr w:type="gramEnd"/>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0C0DA7" w:rsidRDefault="000C0DA7" w:rsidP="000C0DA7">
      <w:r>
        <w:t>In the following the traffic light for each indicator represents how your programme territory compares to wider European and national medians where green = your programme area performs better for that indicator, yellow = similar, and red = wor</w:t>
      </w:r>
      <w:r w:rsidR="00E87F75">
        <w:t>se.</w:t>
      </w:r>
    </w:p>
    <w:p w:rsidR="000F7586" w:rsidRDefault="000F7586" w:rsidP="000F7586">
      <w:r>
        <w:t>In creating the traffic</w:t>
      </w:r>
      <w:r w:rsidR="000C0DA7">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AD033A" w:rsidRPr="00973E76" w:rsidRDefault="00AD033A" w:rsidP="00AD033A">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E576CA">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576CA" w:rsidRPr="00EB6918" w:rsidRDefault="007C4FFB" w:rsidP="007C4FFB">
      <w:r>
        <w:rPr>
          <w:noProof/>
          <w:lang w:val="en-US"/>
        </w:rPr>
        <w:drawing>
          <wp:anchor distT="0" distB="0" distL="114300" distR="114300" simplePos="0" relativeHeight="251690496" behindDoc="1" locked="0" layoutInCell="1" allowOverlap="1">
            <wp:simplePos x="0" y="0"/>
            <wp:positionH relativeFrom="column">
              <wp:posOffset>-16510</wp:posOffset>
            </wp:positionH>
            <wp:positionV relativeFrom="paragraph">
              <wp:posOffset>26035</wp:posOffset>
            </wp:positionV>
            <wp:extent cx="5273675" cy="2710815"/>
            <wp:effectExtent l="19050" t="0" r="3175" b="0"/>
            <wp:wrapTight wrapText="bothSides">
              <wp:wrapPolygon edited="0">
                <wp:start x="-78" y="0"/>
                <wp:lineTo x="-78" y="20492"/>
                <wp:lineTo x="21613" y="20492"/>
                <wp:lineTo x="21613" y="0"/>
                <wp:lineTo x="-78" y="0"/>
              </wp:wrapPolygon>
            </wp:wrapTight>
            <wp:docPr id="5" name="Bild 1" descr="C:\Dokumente und Einstellungen\pucher\Desktop\TL_CBC1\CBC_TL_Poland_Slovaki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Poland_Slovakia1a.png"/>
                    <pic:cNvPicPr>
                      <a:picLocks noChangeAspect="1" noChangeArrowheads="1"/>
                    </pic:cNvPicPr>
                  </pic:nvPicPr>
                  <pic:blipFill>
                    <a:blip r:embed="rId15" cstate="print"/>
                    <a:srcRect/>
                    <a:stretch>
                      <a:fillRect/>
                    </a:stretch>
                  </pic:blipFill>
                  <pic:spPr bwMode="auto">
                    <a:xfrm>
                      <a:off x="0" y="0"/>
                      <a:ext cx="5273675" cy="2710815"/>
                    </a:xfrm>
                    <a:prstGeom prst="rect">
                      <a:avLst/>
                    </a:prstGeom>
                    <a:noFill/>
                    <a:ln w="9525">
                      <a:noFill/>
                      <a:miter lim="800000"/>
                      <a:headEnd/>
                      <a:tailEnd/>
                    </a:ln>
                  </pic:spPr>
                </pic:pic>
              </a:graphicData>
            </a:graphic>
          </wp:anchor>
        </w:drawing>
      </w:r>
      <w:r w:rsidR="00E576CA" w:rsidRPr="00EB6918">
        <w:t>According to all indicators re</w:t>
      </w:r>
      <w:r w:rsidR="00686866">
        <w:t>ported above, the Poland-Slovak Republic</w:t>
      </w:r>
      <w:r w:rsidR="00E576CA" w:rsidRPr="00EB6918">
        <w:t xml:space="preserve"> CBC area performs at a lower level to the EU27+4 space and all CBC ones. Considering the objective of R&amp;D expenditure of  percentage of the GDP - one of the five headline targets in the Europe 2020 Strategy - the CBC area is still lagging behind  the EU27+4 space and all CBC. Moreover, the CBC area is characterized by a high </w:t>
      </w:r>
      <w:r w:rsidR="00E576CA" w:rsidRPr="00EB6918">
        <w:lastRenderedPageBreak/>
        <w:t xml:space="preserve">level of internal disparity and performs worse than Poland and in a similar way to Slovakia. </w:t>
      </w:r>
    </w:p>
    <w:p w:rsidR="00E576CA" w:rsidRDefault="00E576CA" w:rsidP="00E576CA">
      <w:r w:rsidRPr="00EB6918">
        <w:t>Concerning the ratio of employment in knowledge-intensive service to the total employment in 2010, the CBC area has lower values than both the EU27+4 space and all CBCs; similar to Poland and slightly lower than Slovakia. The distribution inside the CBC results in a low level of internal disparity.</w:t>
      </w:r>
      <w:r>
        <w:t xml:space="preserve"> </w:t>
      </w:r>
    </w:p>
    <w:p w:rsidR="00E576CA" w:rsidRPr="00F25E18" w:rsidRDefault="00E576CA" w:rsidP="00E576CA">
      <w:r>
        <w:t xml:space="preserve">In </w:t>
      </w:r>
      <w:r w:rsidRPr="00F25E18">
        <w:t>terms of the percentage of individuals regularly using internet in 2011, the CBC has lower values than the EU27+4 space and all CBCs, but it performs at the same level as Poland worse than Slovakia, with a low internal disparity.</w:t>
      </w:r>
    </w:p>
    <w:p w:rsidR="00C813EC" w:rsidRDefault="00C813EC" w:rsidP="00C813EC">
      <w:r w:rsidRPr="00F25E18">
        <w:t>According to the classification of the KIT project, MAP 1 identifies</w:t>
      </w:r>
      <w:r>
        <w:t xml:space="preserve"> two territorial patterns of innovation: </w:t>
      </w:r>
    </w:p>
    <w:p w:rsidR="00C813EC" w:rsidRDefault="00C813EC" w:rsidP="00C813EC">
      <w:pPr>
        <w:pStyle w:val="ListParagraph"/>
        <w:numPr>
          <w:ilvl w:val="0"/>
          <w:numId w:val="25"/>
        </w:numPr>
        <w:rPr>
          <w:szCs w:val="20"/>
        </w:rPr>
      </w:pPr>
      <w:r>
        <w:rPr>
          <w:rFonts w:cstheme="minorHAnsi"/>
          <w:szCs w:val="20"/>
        </w:rPr>
        <w:t xml:space="preserve">‘Smart and creative diversification area’ in the North Western side of the CBC area, in Poland. It is defined by a low degree of local diversified applied knowledge, internal innovation capacity, high degree of local competences, creativity and entrepreneurship, external knowledge embedded in technical and organizational capabilities;  </w:t>
      </w:r>
    </w:p>
    <w:p w:rsidR="00C813EC" w:rsidRDefault="00C813EC" w:rsidP="00C813EC">
      <w:pPr>
        <w:pStyle w:val="ListParagraph"/>
        <w:numPr>
          <w:ilvl w:val="0"/>
          <w:numId w:val="25"/>
        </w:numPr>
        <w:rPr>
          <w:szCs w:val="20"/>
        </w:rPr>
      </w:pPr>
      <w:r>
        <w:rPr>
          <w:rFonts w:cstheme="minorHAnsi"/>
          <w:szCs w:val="20"/>
        </w:rPr>
        <w:t xml:space="preserve">‘Creative imitation area’, in the rest of the Polish part of the CBC area and in the Slovakian side, i.e. </w:t>
      </w:r>
      <w:proofErr w:type="spellStart"/>
      <w:r w:rsidRPr="006F0CE4">
        <w:rPr>
          <w:rFonts w:cs="Arial"/>
        </w:rPr>
        <w:t>Žilinský</w:t>
      </w:r>
      <w:proofErr w:type="spellEnd"/>
      <w:r w:rsidRPr="006F0CE4">
        <w:rPr>
          <w:rFonts w:cs="Arial"/>
        </w:rPr>
        <w:t xml:space="preserve"> </w:t>
      </w:r>
      <w:proofErr w:type="spellStart"/>
      <w:r w:rsidRPr="006F0CE4">
        <w:rPr>
          <w:rFonts w:cs="Arial"/>
        </w:rPr>
        <w:t>kraj</w:t>
      </w:r>
      <w:proofErr w:type="spellEnd"/>
      <w:r w:rsidRPr="006F0CE4">
        <w:rPr>
          <w:rFonts w:cs="Arial"/>
        </w:rPr>
        <w:t xml:space="preserve"> and </w:t>
      </w:r>
      <w:proofErr w:type="spellStart"/>
      <w:r w:rsidRPr="006F0CE4">
        <w:rPr>
          <w:rFonts w:cs="Arial"/>
        </w:rPr>
        <w:t>Prešovský</w:t>
      </w:r>
      <w:proofErr w:type="spellEnd"/>
      <w:r w:rsidRPr="006F0CE4">
        <w:rPr>
          <w:rFonts w:cs="Arial"/>
        </w:rPr>
        <w:t xml:space="preserve"> </w:t>
      </w:r>
      <w:proofErr w:type="spellStart"/>
      <w:r w:rsidRPr="006F0CE4">
        <w:rPr>
          <w:rFonts w:cs="Arial"/>
        </w:rPr>
        <w:t>kraj</w:t>
      </w:r>
      <w:proofErr w:type="spellEnd"/>
      <w:r w:rsidRPr="006F0CE4">
        <w:rPr>
          <w:rFonts w:cstheme="minorHAnsi"/>
          <w:szCs w:val="20"/>
        </w:rPr>
        <w:t>.</w:t>
      </w:r>
      <w:r>
        <w:rPr>
          <w:rFonts w:cstheme="minorHAnsi"/>
          <w:szCs w:val="20"/>
        </w:rPr>
        <w:t xml:space="preserve"> It is associated to a low knowledge and innovation intensity, entrepreneurship, creativity, a high attractiveness and a high innovation potential.</w:t>
      </w:r>
    </w:p>
    <w:p w:rsidR="000F7586" w:rsidRDefault="000F7586">
      <w:pPr>
        <w:spacing w:after="0" w:line="240" w:lineRule="auto"/>
        <w:jc w:val="left"/>
        <w:rPr>
          <w:szCs w:val="20"/>
        </w:rPr>
      </w:pPr>
      <w:r>
        <w:rPr>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983E84">
        <w:rPr>
          <w:b/>
        </w:rPr>
        <w:t>Poland-Slovak Republic</w:t>
      </w:r>
    </w:p>
    <w:p w:rsidR="008A3B96" w:rsidRDefault="008A3B96" w:rsidP="008A3B96"/>
    <w:p w:rsidR="008A3B96" w:rsidRDefault="00F101C4" w:rsidP="008A3B96">
      <w:pPr>
        <w:spacing w:after="0" w:line="240" w:lineRule="auto"/>
      </w:pPr>
      <w:r w:rsidRPr="00F101C4">
        <w:rPr>
          <w:noProof/>
          <w:lang w:val="de-DE" w:eastAsia="de-DE"/>
        </w:rPr>
        <w:pict>
          <v:oval id="_x0000_s1029" style="position:absolute;left:0;text-align:left;margin-left:233.1pt;margin-top:215.55pt;width:48.05pt;height:32.8pt;rotation:-1341666fd;z-index:251682304" filled="f" strokecolor="#0070c0" strokeweight="2pt"/>
        </w:pict>
      </w:r>
      <w:r w:rsidR="005439D3">
        <w:rPr>
          <w:noProof/>
          <w:lang w:val="en-US"/>
        </w:rPr>
        <w:drawing>
          <wp:inline distT="0" distB="0" distL="0" distR="0">
            <wp:extent cx="5278755" cy="6284584"/>
            <wp:effectExtent l="1905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E576CA">
        <w:lastRenderedPageBreak/>
        <w:t>Sustainable growth</w:t>
      </w:r>
      <w:r w:rsidRPr="00337872">
        <w:t xml:space="preserve"> </w:t>
      </w:r>
    </w:p>
    <w:p w:rsidR="004F26B8" w:rsidRDefault="007C4FFB" w:rsidP="00C00C96">
      <w:r>
        <w:rPr>
          <w:noProof/>
          <w:lang w:val="en-US"/>
        </w:rPr>
        <w:drawing>
          <wp:anchor distT="0" distB="0" distL="114300" distR="114300" simplePos="0" relativeHeight="251691520" behindDoc="1" locked="0" layoutInCell="1" allowOverlap="1">
            <wp:simplePos x="0" y="0"/>
            <wp:positionH relativeFrom="column">
              <wp:posOffset>-14605</wp:posOffset>
            </wp:positionH>
            <wp:positionV relativeFrom="paragraph">
              <wp:posOffset>1305560</wp:posOffset>
            </wp:positionV>
            <wp:extent cx="5272405" cy="3008630"/>
            <wp:effectExtent l="19050" t="0" r="4445" b="0"/>
            <wp:wrapTight wrapText="bothSides">
              <wp:wrapPolygon edited="0">
                <wp:start x="-78" y="0"/>
                <wp:lineTo x="-78" y="20652"/>
                <wp:lineTo x="21618" y="20652"/>
                <wp:lineTo x="21618" y="0"/>
                <wp:lineTo x="-78" y="0"/>
              </wp:wrapPolygon>
            </wp:wrapTight>
            <wp:docPr id="8" name="Bild 2" descr="C:\Dokumente und Einstellungen\pucher\Desktop\TL_CBC1\CBC_TL_Poland_Slovaki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Poland_Slovakia1b.png"/>
                    <pic:cNvPicPr>
                      <a:picLocks noChangeAspect="1" noChangeArrowheads="1"/>
                    </pic:cNvPicPr>
                  </pic:nvPicPr>
                  <pic:blipFill>
                    <a:blip r:embed="rId17" cstate="print"/>
                    <a:srcRect/>
                    <a:stretch>
                      <a:fillRect/>
                    </a:stretch>
                  </pic:blipFill>
                  <pic:spPr bwMode="auto">
                    <a:xfrm>
                      <a:off x="0" y="0"/>
                      <a:ext cx="5272405" cy="3008630"/>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framework of the E</w:t>
      </w:r>
      <w:r w:rsidR="00686866">
        <w:t>urope</w:t>
      </w:r>
      <w:r w:rsidR="00276DA6">
        <w:t xml:space="preserve"> 2020 Strategy it means </w:t>
      </w:r>
      <w:r w:rsidR="006D6890">
        <w:t>focus on competitiveness, resource efficiency, climate change and biodiversity</w:t>
      </w:r>
      <w:r w:rsidR="00276DA6">
        <w:t>.</w:t>
      </w:r>
    </w:p>
    <w:p w:rsidR="007C4FFB" w:rsidRDefault="007C4FFB" w:rsidP="00C00C96"/>
    <w:p w:rsidR="007300AD" w:rsidRPr="00E576CA" w:rsidRDefault="007300AD" w:rsidP="007300AD">
      <w:pPr>
        <w:spacing w:before="240"/>
      </w:pPr>
      <w:r w:rsidRPr="00E576CA">
        <w:t>The use of wind energy potential could be one of the cornerstones in building a competitive low-carbon economy in the EU. The programme area as a whole shows a median v</w:t>
      </w:r>
      <w:r w:rsidR="000E5193" w:rsidRPr="00E576CA">
        <w:t>alue that is significantly higher</w:t>
      </w:r>
      <w:r w:rsidRPr="00E576CA">
        <w:t xml:space="preserve"> than the EU 27+4 and all the CBC programme areas in Europe. The CBC </w:t>
      </w:r>
      <w:r w:rsidR="000E5193" w:rsidRPr="00E576CA">
        <w:t>area shows a significantly higher</w:t>
      </w:r>
      <w:r w:rsidRPr="00E576CA">
        <w:t xml:space="preserve"> value tha</w:t>
      </w:r>
      <w:r w:rsidR="000E5193" w:rsidRPr="00E576CA">
        <w:t>n the national level of Slovakia.</w:t>
      </w:r>
      <w:r w:rsidRPr="00E576CA">
        <w:t xml:space="preserve"> </w:t>
      </w:r>
      <w:r w:rsidR="000E5193" w:rsidRPr="00E576CA">
        <w:t>The opposite</w:t>
      </w:r>
      <w:r w:rsidRPr="00E576CA">
        <w:t xml:space="preserve"> picture exists for the CBC compared to the </w:t>
      </w:r>
      <w:r w:rsidR="000E5193" w:rsidRPr="00E576CA">
        <w:t>EU 27+4 and all the CBC programme areas regarding the ozone concentration. The Slovakian</w:t>
      </w:r>
      <w:r w:rsidRPr="00E576CA">
        <w:t xml:space="preserve"> national numbers </w:t>
      </w:r>
      <w:r w:rsidR="000E5193" w:rsidRPr="00E576CA">
        <w:t>are significantly higher while the Polish are close to the similar level than the programme area.</w:t>
      </w:r>
      <w:r w:rsidRPr="00E576CA">
        <w:t xml:space="preserve"> </w:t>
      </w:r>
    </w:p>
    <w:p w:rsidR="007300AD" w:rsidRPr="00E576CA" w:rsidRDefault="000E5193" w:rsidP="007300AD">
      <w:r w:rsidRPr="00E576CA">
        <w:t xml:space="preserve">The </w:t>
      </w:r>
      <w:r w:rsidR="00686866">
        <w:t>Poland-Slovak Republic</w:t>
      </w:r>
      <w:r w:rsidR="00686866" w:rsidRPr="00EB6918">
        <w:t xml:space="preserve"> </w:t>
      </w:r>
      <w:r w:rsidR="007300AD" w:rsidRPr="00E576CA">
        <w:t>programme is substantially vulnerable to potential climate change compared to the EU 27+4 and all the CBC regions</w:t>
      </w:r>
      <w:r w:rsidRPr="00E576CA">
        <w:t>.</w:t>
      </w:r>
      <w:r w:rsidR="007300AD" w:rsidRPr="00E576CA">
        <w:t xml:space="preserve"> Also compared to the </w:t>
      </w:r>
      <w:r w:rsidRPr="00E576CA">
        <w:t>Polish national level</w:t>
      </w:r>
      <w:r w:rsidR="007300AD" w:rsidRPr="00E576CA">
        <w:t xml:space="preserve"> the cooper</w:t>
      </w:r>
      <w:r w:rsidRPr="00E576CA">
        <w:t>ation area is highly vulnerable, whereas Slovakia is similar to it.</w:t>
      </w:r>
      <w:r w:rsidR="007300AD" w:rsidRPr="00E576CA">
        <w:t xml:space="preserve"> </w:t>
      </w:r>
      <w:r w:rsidR="00210751" w:rsidRPr="00E576CA">
        <w:t>The Slovakian side</w:t>
      </w:r>
      <w:r w:rsidR="007300AD" w:rsidRPr="00E576CA">
        <w:t xml:space="preserve"> of the border in the CBC area are not affected by territorial impact of Directive 11 on fossil fuel consumption (MAP 2)</w:t>
      </w:r>
      <w:r w:rsidR="00210751" w:rsidRPr="00E576CA">
        <w:t xml:space="preserve"> while a certain part of the Polish area is moderately</w:t>
      </w:r>
      <w:r w:rsidR="007300AD" w:rsidRPr="00E576CA">
        <w:t xml:space="preserve"> </w:t>
      </w:r>
      <w:r w:rsidR="00210751" w:rsidRPr="00E576CA">
        <w:t>affected. The</w:t>
      </w:r>
      <w:r w:rsidR="007300AD" w:rsidRPr="00E576CA">
        <w:t xml:space="preserve"> combined adaptive capacity to climate change (BOX-PLOT 1) </w:t>
      </w:r>
      <w:r w:rsidR="00210751" w:rsidRPr="00E576CA">
        <w:t xml:space="preserve">of the programme area </w:t>
      </w:r>
      <w:r w:rsidR="007300AD" w:rsidRPr="00E576CA">
        <w:t xml:space="preserve">in general similar to the national levels. On the </w:t>
      </w:r>
      <w:r w:rsidR="00103243" w:rsidRPr="00E576CA">
        <w:t>Slovakian</w:t>
      </w:r>
      <w:r w:rsidR="007300AD" w:rsidRPr="00E576CA">
        <w:t xml:space="preserve"> side the NUTS3 region </w:t>
      </w:r>
      <w:r w:rsidR="00103243" w:rsidRPr="00E576CA">
        <w:t xml:space="preserve">of </w:t>
      </w:r>
      <w:proofErr w:type="spellStart"/>
      <w:r w:rsidR="00103243" w:rsidRPr="00E576CA">
        <w:t>Zilinskyý</w:t>
      </w:r>
      <w:proofErr w:type="spellEnd"/>
      <w:r w:rsidR="00103243" w:rsidRPr="00E576CA">
        <w:t xml:space="preserve"> </w:t>
      </w:r>
      <w:proofErr w:type="spellStart"/>
      <w:r w:rsidR="00103243" w:rsidRPr="00E576CA">
        <w:t>kraj</w:t>
      </w:r>
      <w:proofErr w:type="spellEnd"/>
      <w:r w:rsidR="007300AD" w:rsidRPr="00E576CA">
        <w:t xml:space="preserve"> </w:t>
      </w:r>
      <w:r w:rsidR="00E13BE4" w:rsidRPr="00E576CA">
        <w:t>shows a</w:t>
      </w:r>
      <w:r w:rsidR="00103243" w:rsidRPr="00E576CA">
        <w:t xml:space="preserve"> higher</w:t>
      </w:r>
      <w:r w:rsidR="007300AD" w:rsidRPr="00E576CA">
        <w:t xml:space="preserve"> capacity compared to the respective national values. </w:t>
      </w:r>
    </w:p>
    <w:p w:rsidR="00041A22" w:rsidRDefault="00041A22">
      <w:pPr>
        <w:spacing w:after="0" w:line="240" w:lineRule="auto"/>
        <w:jc w:val="left"/>
      </w:pPr>
      <w: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983E84">
        <w:rPr>
          <w:b/>
        </w:rPr>
        <w:t>Poland-Slovak Republic</w:t>
      </w:r>
    </w:p>
    <w:p w:rsidR="00D26713" w:rsidRDefault="00D26713" w:rsidP="00D26713">
      <w:pPr>
        <w:spacing w:after="0" w:line="240" w:lineRule="auto"/>
        <w:rPr>
          <w:noProof/>
          <w:lang w:eastAsia="en-GB"/>
        </w:rPr>
      </w:pPr>
    </w:p>
    <w:p w:rsidR="00D26713" w:rsidRDefault="00F101C4" w:rsidP="00D26713">
      <w:pPr>
        <w:spacing w:after="0" w:line="240" w:lineRule="auto"/>
        <w:rPr>
          <w:noProof/>
          <w:lang w:eastAsia="en-GB"/>
        </w:rPr>
      </w:pPr>
      <w:r w:rsidRPr="00F101C4">
        <w:rPr>
          <w:noProof/>
          <w:lang w:val="de-DE" w:eastAsia="de-DE"/>
        </w:rPr>
        <w:pict>
          <v:oval id="_x0000_s1030" style="position:absolute;left:0;text-align:left;margin-left:245.65pt;margin-top:200.3pt;width:48.05pt;height:32.8pt;rotation:-1341666fd;z-index:251683328" filled="f" strokecolor="#0070c0" strokeweight="2pt"/>
        </w:pict>
      </w:r>
      <w:r w:rsidR="005439D3">
        <w:rPr>
          <w:noProof/>
          <w:lang w:val="en-US"/>
        </w:rPr>
        <w:drawing>
          <wp:inline distT="0" distB="0" distL="0" distR="0">
            <wp:extent cx="5278755" cy="5815626"/>
            <wp:effectExtent l="1905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0C7E05">
        <w:rPr>
          <w:b/>
        </w:rPr>
        <w:lastRenderedPageBreak/>
        <w:t>BOX</w:t>
      </w:r>
      <w:r w:rsidR="0054220D" w:rsidRPr="000C7E05">
        <w:rPr>
          <w:b/>
        </w:rPr>
        <w:t>-</w:t>
      </w:r>
      <w:r w:rsidRPr="000C7E05">
        <w:rPr>
          <w:b/>
        </w:rPr>
        <w:t>PLOT</w:t>
      </w:r>
      <w:r w:rsidR="00016B50" w:rsidRPr="000C7E05">
        <w:rPr>
          <w:b/>
        </w:rPr>
        <w:t xml:space="preserve"> 1 – </w:t>
      </w:r>
      <w:r w:rsidRPr="000C7E05">
        <w:rPr>
          <w:b/>
        </w:rPr>
        <w:t>Combined adaptive capacity to climate change (ESPON CLIMATE project)</w:t>
      </w:r>
      <w:r w:rsidR="002371D8" w:rsidRPr="000C7E05">
        <w:rPr>
          <w:b/>
        </w:rPr>
        <w:t xml:space="preserve"> for the CBC </w:t>
      </w:r>
      <w:r w:rsidR="00983E84">
        <w:rPr>
          <w:b/>
        </w:rPr>
        <w:t>Poland-Slovak Republic</w:t>
      </w:r>
    </w:p>
    <w:p w:rsidR="00AD033A" w:rsidRPr="00021CAB" w:rsidRDefault="00AD033A" w:rsidP="00AD033A">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0C7E05" w:rsidP="006E618B">
      <w:pPr>
        <w:spacing w:after="0" w:line="240" w:lineRule="auto"/>
        <w:rPr>
          <w:noProof/>
          <w:lang w:eastAsia="en-GB"/>
        </w:rPr>
      </w:pPr>
      <w:r>
        <w:rPr>
          <w:noProof/>
          <w:lang w:val="en-US"/>
        </w:rPr>
        <w:drawing>
          <wp:inline distT="0" distB="0" distL="0" distR="0">
            <wp:extent cx="5278755" cy="4224356"/>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E576CA">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103243" w:rsidRDefault="007C4FFB" w:rsidP="00103243">
      <w:pPr>
        <w:spacing w:before="120" w:after="0" w:line="240" w:lineRule="auto"/>
        <w:rPr>
          <w:b/>
          <w:noProof/>
          <w:highlight w:val="yellow"/>
          <w:lang w:eastAsia="en-GB"/>
        </w:rPr>
      </w:pPr>
      <w:r>
        <w:rPr>
          <w:b/>
          <w:noProof/>
          <w:lang w:val="en-US"/>
        </w:rPr>
        <w:drawing>
          <wp:inline distT="0" distB="0" distL="0" distR="0">
            <wp:extent cx="5278755" cy="2656742"/>
            <wp:effectExtent l="19050" t="0" r="0" b="0"/>
            <wp:docPr id="9" name="Bild 3" descr="C:\Dokumente und Einstellungen\pucher\Desktop\TL_CBC1\CBC_TL_Poland_Slovaki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Poland_Slovakia1c.png"/>
                    <pic:cNvPicPr>
                      <a:picLocks noChangeAspect="1" noChangeArrowheads="1"/>
                    </pic:cNvPicPr>
                  </pic:nvPicPr>
                  <pic:blipFill>
                    <a:blip r:embed="rId20" cstate="print"/>
                    <a:srcRect/>
                    <a:stretch>
                      <a:fillRect/>
                    </a:stretch>
                  </pic:blipFill>
                  <pic:spPr bwMode="auto">
                    <a:xfrm>
                      <a:off x="0" y="0"/>
                      <a:ext cx="5278755" cy="2656742"/>
                    </a:xfrm>
                    <a:prstGeom prst="rect">
                      <a:avLst/>
                    </a:prstGeom>
                    <a:noFill/>
                    <a:ln w="9525">
                      <a:noFill/>
                      <a:miter lim="800000"/>
                      <a:headEnd/>
                      <a:tailEnd/>
                    </a:ln>
                  </pic:spPr>
                </pic:pic>
              </a:graphicData>
            </a:graphic>
          </wp:inline>
        </w:drawing>
      </w:r>
    </w:p>
    <w:p w:rsidR="0076706E" w:rsidRPr="00E576CA" w:rsidRDefault="0076706E" w:rsidP="00103243">
      <w:pPr>
        <w:spacing w:before="120" w:after="0" w:line="240" w:lineRule="auto"/>
        <w:rPr>
          <w:noProof/>
          <w:lang w:eastAsia="en-GB"/>
        </w:rPr>
      </w:pPr>
      <w:r w:rsidRPr="00E576CA">
        <w:rPr>
          <w:noProof/>
          <w:lang w:eastAsia="en-GB"/>
        </w:rPr>
        <w:t xml:space="preserve">The CBC area </w:t>
      </w:r>
      <w:r w:rsidR="00210751" w:rsidRPr="00E576CA">
        <w:rPr>
          <w:noProof/>
          <w:lang w:eastAsia="en-GB"/>
        </w:rPr>
        <w:t xml:space="preserve">of </w:t>
      </w:r>
      <w:r w:rsidR="00686866">
        <w:t>Poland-Slovak Republic</w:t>
      </w:r>
      <w:r w:rsidR="00686866" w:rsidRPr="00EB6918">
        <w:t xml:space="preserve"> </w:t>
      </w:r>
      <w:r w:rsidRPr="00E576CA">
        <w:rPr>
          <w:noProof/>
          <w:lang w:eastAsia="en-GB"/>
        </w:rPr>
        <w:t>in general shows higher values in the case of long-term unemployed persons and persons at risk of poverty compared to the EU27+4 and the other CBC regions in Europe. Ex</w:t>
      </w:r>
      <w:r w:rsidR="0052742C" w:rsidRPr="00E576CA">
        <w:rPr>
          <w:noProof/>
          <w:lang w:eastAsia="en-GB"/>
        </w:rPr>
        <w:t>c</w:t>
      </w:r>
      <w:r w:rsidRPr="00E576CA">
        <w:rPr>
          <w:noProof/>
          <w:lang w:eastAsia="en-GB"/>
        </w:rPr>
        <w:t>eptional cases are the long-term unemployment rate of th</w:t>
      </w:r>
      <w:r w:rsidR="0052742C" w:rsidRPr="00E576CA">
        <w:rPr>
          <w:noProof/>
          <w:lang w:eastAsia="en-GB"/>
        </w:rPr>
        <w:t>e CBC area compared to the Polish</w:t>
      </w:r>
      <w:r w:rsidRPr="00E576CA">
        <w:rPr>
          <w:noProof/>
          <w:lang w:eastAsia="en-GB"/>
        </w:rPr>
        <w:t xml:space="preserve"> national level and persons who are</w:t>
      </w:r>
      <w:r w:rsidR="0098671A" w:rsidRPr="00E576CA">
        <w:rPr>
          <w:noProof/>
          <w:lang w:eastAsia="en-GB"/>
        </w:rPr>
        <w:t xml:space="preserve"> at risk of poverty in </w:t>
      </w:r>
      <w:r w:rsidR="00686866">
        <w:t>Poland-Slovak Republic</w:t>
      </w:r>
      <w:r w:rsidR="00686866" w:rsidRPr="00EB6918">
        <w:t xml:space="preserve"> </w:t>
      </w:r>
      <w:r w:rsidR="0052742C" w:rsidRPr="00E576CA">
        <w:rPr>
          <w:noProof/>
          <w:lang w:eastAsia="en-GB"/>
        </w:rPr>
        <w:t>compared to the Polish</w:t>
      </w:r>
      <w:r w:rsidRPr="00E576CA">
        <w:rPr>
          <w:noProof/>
          <w:lang w:eastAsia="en-GB"/>
        </w:rPr>
        <w:t xml:space="preserve"> national value. Looking at the employment rates (BOX-PLOT 2) in the programme area compared to the EU27+4 and the CBC areas as a whole, the majority of </w:t>
      </w:r>
      <w:r w:rsidR="00103243" w:rsidRPr="00E576CA">
        <w:rPr>
          <w:noProof/>
          <w:lang w:eastAsia="en-GB"/>
        </w:rPr>
        <w:t xml:space="preserve">NUTS3 regions in </w:t>
      </w:r>
      <w:r w:rsidR="00686866">
        <w:t>Poland-Slovak Republic</w:t>
      </w:r>
      <w:r w:rsidR="00686866" w:rsidRPr="00EB6918">
        <w:t xml:space="preserve"> </w:t>
      </w:r>
      <w:r w:rsidRPr="00E576CA">
        <w:rPr>
          <w:noProof/>
          <w:lang w:eastAsia="en-GB"/>
        </w:rPr>
        <w:t>have a lower employment rate. The</w:t>
      </w:r>
      <w:r w:rsidR="0052742C" w:rsidRPr="00E576CA">
        <w:rPr>
          <w:noProof/>
          <w:lang w:eastAsia="en-GB"/>
        </w:rPr>
        <w:t xml:space="preserve"> Polish region of Bielski</w:t>
      </w:r>
      <w:r w:rsidRPr="00E576CA">
        <w:rPr>
          <w:noProof/>
          <w:lang w:eastAsia="en-GB"/>
        </w:rPr>
        <w:t xml:space="preserve"> has an employment rate that is higher</w:t>
      </w:r>
      <w:r w:rsidR="0098671A" w:rsidRPr="00E576CA">
        <w:rPr>
          <w:noProof/>
          <w:lang w:eastAsia="en-GB"/>
        </w:rPr>
        <w:t xml:space="preserve"> and </w:t>
      </w:r>
      <w:r w:rsidRPr="00E576CA">
        <w:rPr>
          <w:noProof/>
          <w:lang w:eastAsia="en-GB"/>
        </w:rPr>
        <w:t xml:space="preserve"> </w:t>
      </w:r>
      <w:r w:rsidR="0098671A" w:rsidRPr="00E576CA">
        <w:rPr>
          <w:noProof/>
          <w:lang w:eastAsia="en-GB"/>
        </w:rPr>
        <w:t xml:space="preserve">the Slovenian region of Presovsky kraj has lower </w:t>
      </w:r>
      <w:r w:rsidRPr="00E576CA">
        <w:rPr>
          <w:noProof/>
          <w:lang w:eastAsia="en-GB"/>
        </w:rPr>
        <w:t xml:space="preserve">than all the other NUTS3 regions of the CBC area. Analysing the different scenarios highlighted in the ESPON DEMIFER project (MAP 3) regarding the change in labour force until 2050, it can be stated that </w:t>
      </w:r>
      <w:r w:rsidR="0052742C" w:rsidRPr="00E576CA">
        <w:rPr>
          <w:noProof/>
          <w:lang w:eastAsia="en-GB"/>
        </w:rPr>
        <w:t xml:space="preserve">in almost every cases </w:t>
      </w:r>
      <w:r w:rsidRPr="00E576CA">
        <w:rPr>
          <w:noProof/>
          <w:lang w:eastAsia="en-GB"/>
        </w:rPr>
        <w:t xml:space="preserve">the situation </w:t>
      </w:r>
      <w:r w:rsidR="00C4201C" w:rsidRPr="00E576CA">
        <w:rPr>
          <w:noProof/>
          <w:lang w:eastAsia="en-GB"/>
        </w:rPr>
        <w:t xml:space="preserve">slightly </w:t>
      </w:r>
      <w:r w:rsidRPr="00E576CA">
        <w:rPr>
          <w:noProof/>
          <w:lang w:eastAsia="en-GB"/>
        </w:rPr>
        <w:t>differes bet</w:t>
      </w:r>
      <w:r w:rsidR="0052742C" w:rsidRPr="00E576CA">
        <w:rPr>
          <w:noProof/>
          <w:lang w:eastAsia="en-GB"/>
        </w:rPr>
        <w:t xml:space="preserve">ween the </w:t>
      </w:r>
      <w:r w:rsidR="00C4201C" w:rsidRPr="00E576CA">
        <w:rPr>
          <w:noProof/>
          <w:lang w:eastAsia="en-GB"/>
        </w:rPr>
        <w:t>Pol</w:t>
      </w:r>
      <w:r w:rsidR="0052742C" w:rsidRPr="00E576CA">
        <w:rPr>
          <w:noProof/>
          <w:lang w:eastAsia="en-GB"/>
        </w:rPr>
        <w:t>i</w:t>
      </w:r>
      <w:r w:rsidR="00C4201C" w:rsidRPr="00E576CA">
        <w:rPr>
          <w:noProof/>
          <w:lang w:eastAsia="en-GB"/>
        </w:rPr>
        <w:t>s</w:t>
      </w:r>
      <w:r w:rsidR="0052742C" w:rsidRPr="00E576CA">
        <w:rPr>
          <w:noProof/>
          <w:lang w:eastAsia="en-GB"/>
        </w:rPr>
        <w:t>h and the Slovakian</w:t>
      </w:r>
      <w:r w:rsidRPr="00E576CA">
        <w:rPr>
          <w:noProof/>
          <w:lang w:eastAsia="en-GB"/>
        </w:rPr>
        <w:t xml:space="preserve"> part of the cooperation area</w:t>
      </w:r>
      <w:r w:rsidR="00C4201C" w:rsidRPr="00E576CA">
        <w:rPr>
          <w:noProof/>
          <w:lang w:eastAsia="en-GB"/>
        </w:rPr>
        <w:t>, but w</w:t>
      </w:r>
      <w:r w:rsidRPr="00E576CA">
        <w:rPr>
          <w:noProof/>
          <w:lang w:eastAsia="en-GB"/>
        </w:rPr>
        <w:t xml:space="preserve">hatever scenario will take place, there are negative changes on </w:t>
      </w:r>
      <w:r w:rsidR="00C4201C" w:rsidRPr="00E576CA">
        <w:rPr>
          <w:noProof/>
          <w:lang w:eastAsia="en-GB"/>
        </w:rPr>
        <w:t>both</w:t>
      </w:r>
      <w:r w:rsidRPr="00E576CA">
        <w:rPr>
          <w:noProof/>
          <w:lang w:eastAsia="en-GB"/>
        </w:rPr>
        <w:t xml:space="preserve"> side</w:t>
      </w:r>
      <w:r w:rsidR="00C4201C" w:rsidRPr="00E576CA">
        <w:rPr>
          <w:noProof/>
          <w:lang w:eastAsia="en-GB"/>
        </w:rPr>
        <w:t>s</w:t>
      </w:r>
      <w:r w:rsidRPr="00E576CA">
        <w:rPr>
          <w:noProof/>
          <w:lang w:eastAsia="en-GB"/>
        </w:rPr>
        <w:t xml:space="preserve"> of the border. The </w:t>
      </w:r>
      <w:r w:rsidR="00524A85" w:rsidRPr="00E576CA">
        <w:rPr>
          <w:noProof/>
          <w:lang w:eastAsia="en-GB"/>
        </w:rPr>
        <w:t>programme area shows strong negative</w:t>
      </w:r>
      <w:r w:rsidRPr="00E576CA">
        <w:rPr>
          <w:noProof/>
          <w:lang w:eastAsia="en-GB"/>
        </w:rPr>
        <w:t xml:space="preserve"> effects in the case of the</w:t>
      </w:r>
      <w:r w:rsidR="00524A85" w:rsidRPr="00E576CA">
        <w:rPr>
          <w:noProof/>
          <w:lang w:eastAsia="en-GB"/>
        </w:rPr>
        <w:t xml:space="preserve"> change in labour force in two</w:t>
      </w:r>
      <w:r w:rsidRPr="00E576CA">
        <w:rPr>
          <w:noProof/>
          <w:lang w:eastAsia="en-GB"/>
        </w:rPr>
        <w:t xml:space="preserve"> out of four scenarios. </w:t>
      </w:r>
    </w:p>
    <w:p w:rsidR="00104631" w:rsidRDefault="0076706E">
      <w:pPr>
        <w:spacing w:after="0" w:line="240" w:lineRule="auto"/>
        <w:jc w:val="left"/>
        <w:rPr>
          <w:noProof/>
          <w:lang w:eastAsia="en-GB"/>
        </w:rPr>
      </w:pPr>
      <w:r>
        <w:rPr>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983E84">
        <w:rPr>
          <w:b/>
        </w:rPr>
        <w:t>Poland-Slovak Republic</w:t>
      </w:r>
    </w:p>
    <w:p w:rsidR="0089569C" w:rsidRDefault="0089569C" w:rsidP="0089569C">
      <w:pPr>
        <w:spacing w:after="0" w:line="240" w:lineRule="auto"/>
        <w:rPr>
          <w:noProof/>
          <w:lang w:eastAsia="en-GB"/>
        </w:rPr>
      </w:pPr>
    </w:p>
    <w:p w:rsidR="0089569C" w:rsidRDefault="00F101C4" w:rsidP="0089569C">
      <w:pPr>
        <w:spacing w:after="0" w:line="240" w:lineRule="auto"/>
        <w:rPr>
          <w:noProof/>
          <w:lang w:eastAsia="en-GB"/>
        </w:rPr>
      </w:pPr>
      <w:r w:rsidRPr="00F101C4">
        <w:rPr>
          <w:noProof/>
          <w:lang w:val="de-DE" w:eastAsia="de-DE"/>
        </w:rPr>
        <w:pict>
          <v:oval id="_x0000_s1034" style="position:absolute;left:0;text-align:left;margin-left:330.85pt;margin-top:324.5pt;width:24.75pt;height:16.85pt;rotation:-1341666fd;z-index:251687424" filled="f" strokecolor="#0070c0" strokeweight="2pt"/>
        </w:pict>
      </w:r>
      <w:r w:rsidRPr="00F101C4">
        <w:rPr>
          <w:noProof/>
          <w:lang w:val="de-DE" w:eastAsia="de-DE"/>
        </w:rPr>
        <w:pict>
          <v:oval id="_x0000_s1033" style="position:absolute;left:0;text-align:left;margin-left:129.4pt;margin-top:324.5pt;width:24.75pt;height:16.85pt;rotation:-1341666fd;z-index:251686400" filled="f" strokecolor="#0070c0" strokeweight="2pt"/>
        </w:pict>
      </w:r>
      <w:r w:rsidRPr="00F101C4">
        <w:rPr>
          <w:noProof/>
          <w:lang w:val="de-DE" w:eastAsia="de-DE"/>
        </w:rPr>
        <w:pict>
          <v:oval id="_x0000_s1032" style="position:absolute;left:0;text-align:left;margin-left:328.3pt;margin-top:120pt;width:24.75pt;height:16.85pt;rotation:-1341666fd;z-index:251685376" filled="f" strokecolor="#0070c0" strokeweight="2pt"/>
        </w:pict>
      </w:r>
      <w:r w:rsidRPr="00F101C4">
        <w:rPr>
          <w:noProof/>
          <w:lang w:val="de-DE" w:eastAsia="de-DE"/>
        </w:rPr>
        <w:pict>
          <v:oval id="_x0000_s1031" style="position:absolute;left:0;text-align:left;margin-left:127.7pt;margin-top:119.15pt;width:24.75pt;height:16.85pt;rotation:-1341666fd;z-index:251684352" filled="f" strokecolor="#0070c0" strokeweight="2pt"/>
        </w:pict>
      </w:r>
      <w:r w:rsidR="00E9598B">
        <w:rPr>
          <w:noProof/>
          <w:lang w:val="en-US"/>
        </w:rPr>
        <w:drawing>
          <wp:inline distT="0" distB="0" distL="0" distR="0">
            <wp:extent cx="5278755" cy="6911340"/>
            <wp:effectExtent l="19050" t="0" r="0" b="0"/>
            <wp:docPr id="13" name="Grafik 12"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0C7E05">
        <w:rPr>
          <w:b/>
        </w:rPr>
        <w:lastRenderedPageBreak/>
        <w:t>BOX</w:t>
      </w:r>
      <w:r w:rsidR="0054220D" w:rsidRPr="000C7E05">
        <w:rPr>
          <w:b/>
        </w:rPr>
        <w:t>-</w:t>
      </w:r>
      <w:r w:rsidRPr="000C7E05">
        <w:rPr>
          <w:b/>
        </w:rPr>
        <w:t>PLOT</w:t>
      </w:r>
      <w:r w:rsidR="00016B50" w:rsidRPr="000C7E05">
        <w:rPr>
          <w:b/>
        </w:rPr>
        <w:t xml:space="preserve"> 2</w:t>
      </w:r>
      <w:r w:rsidRPr="000C7E05">
        <w:rPr>
          <w:b/>
        </w:rPr>
        <w:t xml:space="preserve"> – Employment rate 2010</w:t>
      </w:r>
      <w:r w:rsidR="002371D8" w:rsidRPr="000C7E05">
        <w:rPr>
          <w:b/>
        </w:rPr>
        <w:t xml:space="preserve"> within the CBC </w:t>
      </w:r>
      <w:r w:rsidR="00983E84">
        <w:rPr>
          <w:b/>
        </w:rPr>
        <w:t>Poland-Slovak Republic</w:t>
      </w:r>
    </w:p>
    <w:p w:rsidR="00FD4E3A" w:rsidRDefault="000C7E05" w:rsidP="00FD4E3A">
      <w:pPr>
        <w:spacing w:after="0" w:line="240" w:lineRule="auto"/>
        <w:jc w:val="left"/>
        <w:rPr>
          <w:noProof/>
          <w:lang w:eastAsia="en-GB"/>
        </w:rPr>
      </w:pPr>
      <w:r>
        <w:rPr>
          <w:noProof/>
          <w:lang w:val="en-US"/>
        </w:rPr>
        <w:drawing>
          <wp:inline distT="0" distB="0" distL="0" distR="0">
            <wp:extent cx="5278755" cy="422435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686866">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7000D5" w:rsidRDefault="005761A6" w:rsidP="005761A6">
      <w:pPr>
        <w:pStyle w:val="Heading1"/>
      </w:pPr>
      <w:r w:rsidRPr="007000D5">
        <w:lastRenderedPageBreak/>
        <w:t xml:space="preserve">Territorial factors of </w:t>
      </w:r>
      <w:r w:rsidR="007000D5" w:rsidRPr="007000D5">
        <w:t>interest for the programme area</w:t>
      </w:r>
    </w:p>
    <w:p w:rsidR="007000D5" w:rsidRDefault="007000D5" w:rsidP="007000D5">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7000D5" w:rsidRDefault="007000D5" w:rsidP="007000D5">
      <w:r>
        <w:t xml:space="preserve">In a European perspective the programme area comprises mainly rural regions close to a city, and some intermediate regions. Among the cities in the programme area are e.g. Bielsko-Biala, </w:t>
      </w:r>
      <w:proofErr w:type="spellStart"/>
      <w:r>
        <w:t>Zilina</w:t>
      </w:r>
      <w:proofErr w:type="spellEnd"/>
      <w:r>
        <w:t xml:space="preserve">, </w:t>
      </w:r>
      <w:proofErr w:type="spellStart"/>
      <w:r>
        <w:t>Nowy</w:t>
      </w:r>
      <w:proofErr w:type="spellEnd"/>
      <w:r>
        <w:t xml:space="preserve"> </w:t>
      </w:r>
      <w:proofErr w:type="spellStart"/>
      <w:r>
        <w:t>Sacz</w:t>
      </w:r>
      <w:proofErr w:type="spellEnd"/>
      <w:r>
        <w:t xml:space="preserve"> and </w:t>
      </w:r>
      <w:proofErr w:type="spellStart"/>
      <w:r>
        <w:t>Presov</w:t>
      </w:r>
      <w:proofErr w:type="spellEnd"/>
      <w:r>
        <w:t xml:space="preserve">. Furthermore, the programme area benefits partly from the close proximity to Krakow and Katowice.  </w:t>
      </w:r>
    </w:p>
    <w:p w:rsidR="007000D5" w:rsidRDefault="007000D5" w:rsidP="007000D5">
      <w:r>
        <w:t xml:space="preserve">This concerns both the access to services and infrastructure. In a European the programme area has below average multimodal accessibility. In the programme area there are hardly any opportunities for one-day business trips within the European city network. </w:t>
      </w:r>
    </w:p>
    <w:p w:rsidR="007000D5" w:rsidRDefault="007000D5" w:rsidP="007000D5">
      <w:r>
        <w:t xml:space="preserve">Large parts of the programme area have less border crossings per 100 km border than what is the average for European border regions. Together with the low urban density this limits the opportunities for developing cross-border functional areas. </w:t>
      </w:r>
    </w:p>
    <w:p w:rsidR="007000D5" w:rsidRDefault="007000D5" w:rsidP="007000D5">
      <w:r>
        <w:t xml:space="preserve">In European perspective the area is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7000D5" w:rsidRDefault="007000D5" w:rsidP="007000D5">
      <w:r>
        <w:t xml:space="preserve">In addition, ESPON TERCO contains a case study on the Polish-Slovak-Ukrainian border area and cooperation experience. Also this can be of interest for the programme area. </w:t>
      </w:r>
    </w:p>
    <w:p w:rsidR="007000D5" w:rsidRDefault="007000D5" w:rsidP="007000D5">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proofErr w:type="gramStart"/>
      <w:r>
        <w:rPr>
          <w:rFonts w:cs="Calibri"/>
          <w:sz w:val="18"/>
          <w:szCs w:val="20"/>
          <w:lang w:eastAsia="fr-FR"/>
        </w:rPr>
        <w:t>:</w:t>
      </w:r>
      <w:proofErr w:type="gramEnd"/>
      <w:r>
        <w:rPr>
          <w:rFonts w:cs="Calibri"/>
          <w:sz w:val="18"/>
          <w:szCs w:val="20"/>
          <w:lang w:eastAsia="fr-FR"/>
        </w:rPr>
        <w:br/>
        <w:t>Nexus model for mountain areas</w:t>
      </w:r>
    </w:p>
    <w:p w:rsidR="007000D5" w:rsidRDefault="007000D5" w:rsidP="007000D5">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156604" cy="3112135"/>
            <wp:effectExtent l="25400" t="0" r="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176787" cy="3124316"/>
                    </a:xfrm>
                    <a:prstGeom prst="rect">
                      <a:avLst/>
                    </a:prstGeom>
                    <a:noFill/>
                    <a:ln w="9525">
                      <a:noFill/>
                      <a:miter lim="800000"/>
                      <a:headEnd/>
                      <a:tailEnd/>
                    </a:ln>
                  </pic:spPr>
                </pic:pic>
              </a:graphicData>
            </a:graphic>
          </wp:inline>
        </w:drawing>
      </w:r>
    </w:p>
    <w:p w:rsidR="007000D5" w:rsidRPr="00374F4A" w:rsidRDefault="007000D5" w:rsidP="007000D5">
      <w:pPr>
        <w:shd w:val="clear" w:color="auto" w:fill="F2F2F2" w:themeFill="background1" w:themeFillShade="F2"/>
        <w:spacing w:after="0" w:line="240" w:lineRule="auto"/>
        <w:jc w:val="center"/>
        <w:rPr>
          <w:rFonts w:cs="Calibri"/>
          <w:sz w:val="18"/>
          <w:szCs w:val="20"/>
          <w:lang w:eastAsia="fr-FR"/>
        </w:rPr>
      </w:pP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983E84">
        <w:rPr>
          <w:b/>
        </w:rPr>
        <w:t>Poland-Slovak Republic</w:t>
      </w:r>
    </w:p>
    <w:p w:rsidR="0089569C" w:rsidRDefault="0089569C" w:rsidP="0089569C">
      <w:pPr>
        <w:spacing w:after="0" w:line="240" w:lineRule="auto"/>
        <w:jc w:val="left"/>
        <w:rPr>
          <w:noProof/>
          <w:lang w:eastAsia="en-GB"/>
        </w:rPr>
      </w:pPr>
    </w:p>
    <w:p w:rsidR="0089569C" w:rsidRDefault="00F101C4" w:rsidP="0089569C">
      <w:pPr>
        <w:spacing w:after="0" w:line="240" w:lineRule="auto"/>
        <w:jc w:val="left"/>
        <w:rPr>
          <w:noProof/>
          <w:lang w:eastAsia="en-GB"/>
        </w:rPr>
      </w:pPr>
      <w:r w:rsidRPr="00F101C4">
        <w:rPr>
          <w:noProof/>
          <w:lang w:val="de-DE" w:eastAsia="de-DE"/>
        </w:rPr>
        <w:pict>
          <v:oval id="_x0000_s1035" style="position:absolute;margin-left:228.35pt;margin-top:223.15pt;width:53.1pt;height:40pt;rotation:-1341666fd;z-index:251688448" filled="f" strokecolor="#0070c0" strokeweight="2pt"/>
        </w:pict>
      </w:r>
      <w:r w:rsidR="005439D3">
        <w:rPr>
          <w:noProof/>
          <w:lang w:val="en-US"/>
        </w:rPr>
        <w:drawing>
          <wp:inline distT="0" distB="0" distL="0" distR="0">
            <wp:extent cx="5278755" cy="7214065"/>
            <wp:effectExtent l="19050" t="0" r="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E87F75" w:rsidRPr="0085195F" w:rsidRDefault="00E87F75" w:rsidP="00E87F75">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19394E">
      <w:pPr>
        <w:spacing w:after="0"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983E84">
        <w:rPr>
          <w:b/>
        </w:rPr>
        <w:t>Poland-Slovak Republic</w:t>
      </w:r>
    </w:p>
    <w:p w:rsidR="00AD033A" w:rsidRPr="0019394E" w:rsidRDefault="00AD033A" w:rsidP="0019394E">
      <w:pPr>
        <w:spacing w:after="0" w:line="240" w:lineRule="auto"/>
        <w:jc w:val="left"/>
        <w:rPr>
          <w:b/>
          <w:noProof/>
          <w:lang w:eastAsia="en-GB"/>
        </w:rPr>
      </w:pPr>
    </w:p>
    <w:p w:rsidR="00AD033A" w:rsidRPr="00021CAB" w:rsidRDefault="00AD033A" w:rsidP="00AD033A">
      <w:pPr>
        <w:spacing w:after="240"/>
        <w:rPr>
          <w:i/>
        </w:rPr>
      </w:pPr>
      <w:r w:rsidRPr="00021CAB">
        <w:rPr>
          <w:i/>
        </w:rPr>
        <w:t>“Potential Accessibility Multimodal” scores accessibility of NUTS 3 regions by road, rail and air relative to the European average in an Accessibility Index.</w:t>
      </w:r>
    </w:p>
    <w:p w:rsidR="0089569C" w:rsidRDefault="00F101C4" w:rsidP="0089569C">
      <w:pPr>
        <w:spacing w:after="0" w:line="240" w:lineRule="auto"/>
        <w:jc w:val="left"/>
        <w:rPr>
          <w:noProof/>
          <w:lang w:eastAsia="en-GB"/>
        </w:rPr>
      </w:pPr>
      <w:r w:rsidRPr="00F101C4">
        <w:rPr>
          <w:i/>
          <w:noProof/>
          <w:lang w:val="de-DE" w:eastAsia="de-DE"/>
        </w:rPr>
        <w:pict>
          <v:oval id="_x0000_s1036" style="position:absolute;margin-left:238.35pt;margin-top:226.35pt;width:41.55pt;height:28.3pt;rotation:-1341666fd;z-index:251689472" filled="f" strokecolor="#0070c0" strokeweight="2pt"/>
        </w:pict>
      </w:r>
      <w:r w:rsidR="00E9598B">
        <w:rPr>
          <w:noProof/>
          <w:lang w:val="en-US"/>
        </w:rPr>
        <w:drawing>
          <wp:inline distT="0" distB="0" distL="0" distR="0">
            <wp:extent cx="5278755" cy="7444105"/>
            <wp:effectExtent l="19050" t="0" r="0" b="0"/>
            <wp:docPr id="15" name="Grafik 1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A42D7E" w:rsidP="0019394E">
      <w:pPr>
        <w:pStyle w:val="Heading1"/>
      </w:pPr>
      <w:r>
        <w:lastRenderedPageBreak/>
        <w:t>Recommended ESPON reading</w:t>
      </w:r>
    </w:p>
    <w:p w:rsidR="00A42D7E" w:rsidRDefault="00A42D7E" w:rsidP="00A42D7E">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42D7E" w:rsidRDefault="00A42D7E" w:rsidP="00A42D7E">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42D7E" w:rsidRPr="00A0472D" w:rsidTr="00BE41DB">
        <w:trPr>
          <w:trHeight w:val="203"/>
        </w:trPr>
        <w:tc>
          <w:tcPr>
            <w:tcW w:w="1276" w:type="dxa"/>
            <w:shd w:val="clear" w:color="auto" w:fill="auto"/>
          </w:tcPr>
          <w:p w:rsidR="00A42D7E" w:rsidRPr="00A0472D" w:rsidRDefault="00A42D7E" w:rsidP="00BE41DB">
            <w:pPr>
              <w:spacing w:after="0" w:line="20" w:lineRule="atLeast"/>
              <w:rPr>
                <w:b/>
                <w:sz w:val="18"/>
                <w:szCs w:val="18"/>
              </w:rPr>
            </w:pPr>
            <w:r w:rsidRPr="00A0472D">
              <w:rPr>
                <w:b/>
                <w:sz w:val="18"/>
                <w:szCs w:val="18"/>
              </w:rPr>
              <w:t>ESPON study</w:t>
            </w:r>
          </w:p>
        </w:tc>
        <w:tc>
          <w:tcPr>
            <w:tcW w:w="1418" w:type="dxa"/>
            <w:shd w:val="clear" w:color="auto" w:fill="auto"/>
          </w:tcPr>
          <w:p w:rsidR="00A42D7E" w:rsidRPr="00A0472D" w:rsidRDefault="00A42D7E" w:rsidP="00BE41DB">
            <w:pPr>
              <w:spacing w:after="0" w:line="20" w:lineRule="atLeast"/>
              <w:rPr>
                <w:b/>
                <w:sz w:val="18"/>
                <w:szCs w:val="18"/>
              </w:rPr>
            </w:pPr>
            <w:r w:rsidRPr="00A0472D">
              <w:rPr>
                <w:b/>
                <w:sz w:val="18"/>
                <w:szCs w:val="18"/>
              </w:rPr>
              <w:t>Topic</w:t>
            </w:r>
          </w:p>
        </w:tc>
        <w:tc>
          <w:tcPr>
            <w:tcW w:w="5670" w:type="dxa"/>
            <w:shd w:val="clear" w:color="auto" w:fill="auto"/>
          </w:tcPr>
          <w:p w:rsidR="00A42D7E" w:rsidRPr="00A0472D" w:rsidRDefault="00A42D7E" w:rsidP="00BE41DB">
            <w:pPr>
              <w:spacing w:after="0" w:line="20" w:lineRule="atLeast"/>
              <w:rPr>
                <w:b/>
                <w:sz w:val="18"/>
                <w:szCs w:val="18"/>
              </w:rPr>
            </w:pPr>
            <w:r w:rsidRPr="00A0472D">
              <w:rPr>
                <w:b/>
                <w:sz w:val="18"/>
                <w:szCs w:val="18"/>
              </w:rPr>
              <w:t>Content</w:t>
            </w:r>
          </w:p>
        </w:tc>
      </w:tr>
      <w:tr w:rsidR="00A42D7E" w:rsidRPr="00A0472D" w:rsidTr="00BE41DB">
        <w:trPr>
          <w:trHeight w:val="274"/>
        </w:trPr>
        <w:tc>
          <w:tcPr>
            <w:tcW w:w="1276" w:type="dxa"/>
            <w:shd w:val="clear" w:color="auto" w:fill="FFFFFF" w:themeFill="background1"/>
          </w:tcPr>
          <w:p w:rsidR="00A42D7E" w:rsidRPr="00A0472D" w:rsidRDefault="00A42D7E" w:rsidP="00BE41DB">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A42D7E" w:rsidRPr="00A0472D" w:rsidRDefault="00A42D7E" w:rsidP="00BE41DB">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A42D7E" w:rsidRPr="00A0472D" w:rsidRDefault="00A42D7E" w:rsidP="00BE41DB">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A42D7E" w:rsidRPr="00A0472D" w:rsidTr="00BE41DB">
        <w:trPr>
          <w:trHeight w:val="274"/>
        </w:trPr>
        <w:tc>
          <w:tcPr>
            <w:tcW w:w="1276" w:type="dxa"/>
            <w:shd w:val="clear" w:color="auto" w:fill="FFFFFF" w:themeFill="background1"/>
          </w:tcPr>
          <w:p w:rsidR="00A42D7E" w:rsidRPr="00A0472D" w:rsidRDefault="00A42D7E" w:rsidP="00BE41DB">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A42D7E" w:rsidRPr="00A0472D" w:rsidRDefault="00A42D7E" w:rsidP="00BE41DB">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A42D7E" w:rsidRPr="009A189D" w:rsidRDefault="00A42D7E" w:rsidP="00BE41DB">
            <w:pPr>
              <w:spacing w:after="0" w:line="20" w:lineRule="atLeast"/>
              <w:rPr>
                <w:rFonts w:cs="Calibri"/>
                <w:sz w:val="18"/>
                <w:szCs w:val="18"/>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A42D7E" w:rsidRPr="00A0472D" w:rsidTr="00BE41DB">
        <w:trPr>
          <w:trHeight w:val="274"/>
        </w:trPr>
        <w:tc>
          <w:tcPr>
            <w:tcW w:w="1276" w:type="dxa"/>
            <w:shd w:val="clear" w:color="auto" w:fill="FFFFFF" w:themeFill="background1"/>
          </w:tcPr>
          <w:p w:rsidR="00A42D7E" w:rsidRPr="00A0472D" w:rsidRDefault="00A42D7E" w:rsidP="00BE41DB">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A42D7E" w:rsidRPr="00A0472D" w:rsidRDefault="00A42D7E" w:rsidP="00BE41DB">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A42D7E" w:rsidRPr="009A189D" w:rsidRDefault="00A42D7E" w:rsidP="00BE41DB">
            <w:pPr>
              <w:spacing w:after="0" w:line="20" w:lineRule="atLeast"/>
              <w:rPr>
                <w:rFonts w:cs="Calibri"/>
                <w:sz w:val="18"/>
                <w:szCs w:val="18"/>
                <w:lang w:eastAsia="fr-FR"/>
              </w:rPr>
            </w:pPr>
            <w:r w:rsidRPr="009A189D">
              <w:rPr>
                <w:rFonts w:cs="Calibri"/>
                <w:sz w:val="18"/>
                <w:szCs w:val="18"/>
                <w:lang w:eastAsia="fr-FR"/>
              </w:rPr>
              <w:t xml:space="preserve">It provides a tool for the ex-ante assessment of territorial impacts of policies to deliver evidence on the territorial impact of policies (see from map 2.3.1 to 2.3.9). </w:t>
            </w:r>
          </w:p>
        </w:tc>
      </w:tr>
      <w:tr w:rsidR="00A42D7E" w:rsidRPr="00A0472D" w:rsidTr="00BE41DB">
        <w:trPr>
          <w:trHeight w:val="274"/>
        </w:trPr>
        <w:tc>
          <w:tcPr>
            <w:tcW w:w="1276" w:type="dxa"/>
            <w:shd w:val="clear" w:color="auto" w:fill="FFFFFF" w:themeFill="background1"/>
          </w:tcPr>
          <w:p w:rsidR="00A42D7E" w:rsidRPr="00A0472D" w:rsidRDefault="00A42D7E" w:rsidP="00BE41DB">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A42D7E" w:rsidRPr="00A0472D" w:rsidRDefault="00A42D7E" w:rsidP="00BE41DB">
            <w:pPr>
              <w:spacing w:after="0" w:line="20" w:lineRule="atLeast"/>
              <w:rPr>
                <w:rFonts w:cs="Calibri"/>
                <w:sz w:val="18"/>
                <w:szCs w:val="18"/>
                <w:lang w:eastAsia="fr-FR"/>
              </w:rPr>
            </w:pPr>
            <w:proofErr w:type="spellStart"/>
            <w:r w:rsidRPr="00A0472D">
              <w:rPr>
                <w:rFonts w:cs="Calibri"/>
                <w:sz w:val="18"/>
                <w:szCs w:val="18"/>
                <w:lang w:eastAsia="fr-FR"/>
              </w:rPr>
              <w:t>Agglomerati</w:t>
            </w:r>
            <w:proofErr w:type="spellEnd"/>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A42D7E" w:rsidRPr="00A0472D" w:rsidRDefault="00A42D7E" w:rsidP="00BE41DB">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A42D7E" w:rsidRPr="00A0472D" w:rsidTr="00BE41DB">
        <w:trPr>
          <w:trHeight w:val="274"/>
        </w:trPr>
        <w:tc>
          <w:tcPr>
            <w:tcW w:w="1276" w:type="dxa"/>
            <w:shd w:val="clear" w:color="auto" w:fill="FFFFFF" w:themeFill="background1"/>
          </w:tcPr>
          <w:p w:rsidR="00A42D7E" w:rsidRPr="00A0472D" w:rsidRDefault="00A42D7E" w:rsidP="00BE41DB">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A42D7E" w:rsidRPr="00A0472D" w:rsidRDefault="00A42D7E" w:rsidP="00BE41DB">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A42D7E" w:rsidRPr="00A0472D" w:rsidRDefault="00A42D7E" w:rsidP="00BE41DB">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A42D7E" w:rsidRPr="00A0472D" w:rsidTr="00BE41DB">
        <w:trPr>
          <w:trHeight w:val="274"/>
        </w:trPr>
        <w:tc>
          <w:tcPr>
            <w:tcW w:w="1276" w:type="dxa"/>
            <w:tcBorders>
              <w:bottom w:val="single" w:sz="4" w:space="0" w:color="auto"/>
            </w:tcBorders>
            <w:shd w:val="clear" w:color="auto" w:fill="FFFFFF" w:themeFill="background1"/>
          </w:tcPr>
          <w:p w:rsidR="00A42D7E" w:rsidRPr="00A0472D" w:rsidRDefault="00A42D7E" w:rsidP="00BE41DB">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A42D7E" w:rsidRPr="00A0472D" w:rsidRDefault="00A42D7E" w:rsidP="00BE41DB">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A42D7E" w:rsidRPr="009A189D" w:rsidRDefault="00A42D7E" w:rsidP="00BE41DB">
            <w:pPr>
              <w:spacing w:after="0" w:line="20" w:lineRule="atLeast"/>
              <w:rPr>
                <w:rFonts w:cs="Calibri"/>
                <w:sz w:val="18"/>
                <w:szCs w:val="18"/>
                <w:lang w:eastAsia="fr-FR"/>
              </w:rPr>
            </w:pPr>
            <w:r w:rsidRPr="009A189D">
              <w:rPr>
                <w:rFonts w:cs="Calibri"/>
                <w:sz w:val="18"/>
                <w:szCs w:val="18"/>
                <w:lang w:eastAsia="fr-FR"/>
              </w:rPr>
              <w:t>It identifies the main reasons and consequences of selective migration in rural regions in order to develop strategies for territorial development (see map 1, 4 and 5).</w:t>
            </w:r>
          </w:p>
        </w:tc>
      </w:tr>
      <w:tr w:rsidR="00A42D7E" w:rsidRPr="00A0472D" w:rsidTr="00BE41DB">
        <w:trPr>
          <w:trHeight w:val="274"/>
        </w:trPr>
        <w:tc>
          <w:tcPr>
            <w:tcW w:w="1276" w:type="dxa"/>
            <w:shd w:val="clear" w:color="auto" w:fill="FFFFFF" w:themeFill="background1"/>
          </w:tcPr>
          <w:p w:rsidR="00A42D7E" w:rsidRPr="008152C4" w:rsidRDefault="00A42D7E" w:rsidP="00BE41DB">
            <w:pPr>
              <w:spacing w:after="0" w:line="20" w:lineRule="atLeast"/>
              <w:rPr>
                <w:sz w:val="18"/>
                <w:szCs w:val="18"/>
              </w:rPr>
            </w:pPr>
            <w:r>
              <w:rPr>
                <w:sz w:val="18"/>
                <w:szCs w:val="18"/>
              </w:rPr>
              <w:t>KIT</w:t>
            </w:r>
          </w:p>
        </w:tc>
        <w:tc>
          <w:tcPr>
            <w:tcW w:w="1418" w:type="dxa"/>
            <w:shd w:val="clear" w:color="auto" w:fill="FFFFFF" w:themeFill="background1"/>
          </w:tcPr>
          <w:p w:rsidR="00A42D7E" w:rsidRPr="008152C4" w:rsidRDefault="00A42D7E" w:rsidP="00BE41DB">
            <w:pPr>
              <w:spacing w:after="0" w:line="20" w:lineRule="atLeast"/>
              <w:rPr>
                <w:sz w:val="18"/>
                <w:szCs w:val="18"/>
              </w:rPr>
            </w:pPr>
            <w:r w:rsidRPr="008152C4">
              <w:rPr>
                <w:sz w:val="18"/>
                <w:szCs w:val="18"/>
              </w:rPr>
              <w:t>Innovation</w:t>
            </w:r>
          </w:p>
        </w:tc>
        <w:tc>
          <w:tcPr>
            <w:tcW w:w="5670" w:type="dxa"/>
            <w:shd w:val="clear" w:color="auto" w:fill="FFFFFF" w:themeFill="background1"/>
          </w:tcPr>
          <w:p w:rsidR="00A42D7E" w:rsidRPr="009A189D" w:rsidRDefault="00A42D7E" w:rsidP="00BE41DB">
            <w:pPr>
              <w:spacing w:after="0" w:line="20" w:lineRule="atLeast"/>
              <w:rPr>
                <w:rFonts w:cs="Calibri"/>
                <w:sz w:val="18"/>
                <w:szCs w:val="18"/>
                <w:lang w:eastAsia="fr-FR"/>
              </w:rPr>
            </w:pPr>
            <w:r w:rsidRPr="009A189D">
              <w:rPr>
                <w:rFonts w:cs="Calibri"/>
                <w:sz w:val="18"/>
                <w:szCs w:val="18"/>
                <w:lang w:eastAsia="fr-FR"/>
              </w:rPr>
              <w:t xml:space="preserve">It describes patterns and potentials of knowledge and innovation economy regions (see from map 3.1.1 to 4.4.1). </w:t>
            </w:r>
          </w:p>
        </w:tc>
      </w:tr>
      <w:tr w:rsidR="00A42D7E" w:rsidRPr="00A0472D" w:rsidTr="00BE41DB">
        <w:trPr>
          <w:trHeight w:val="274"/>
        </w:trPr>
        <w:tc>
          <w:tcPr>
            <w:tcW w:w="1276" w:type="dxa"/>
            <w:shd w:val="clear" w:color="auto" w:fill="FFFFFF" w:themeFill="background1"/>
          </w:tcPr>
          <w:p w:rsidR="00A42D7E" w:rsidRPr="00A0472D" w:rsidRDefault="00A42D7E" w:rsidP="00BE41DB">
            <w:pPr>
              <w:spacing w:after="0" w:line="20" w:lineRule="atLeast"/>
              <w:rPr>
                <w:sz w:val="18"/>
                <w:szCs w:val="18"/>
              </w:rPr>
            </w:pPr>
            <w:r w:rsidRPr="008152C4">
              <w:rPr>
                <w:sz w:val="18"/>
                <w:szCs w:val="18"/>
              </w:rPr>
              <w:t>SGPTD</w:t>
            </w:r>
          </w:p>
        </w:tc>
        <w:tc>
          <w:tcPr>
            <w:tcW w:w="1418" w:type="dxa"/>
            <w:shd w:val="clear" w:color="auto" w:fill="FFFFFF" w:themeFill="background1"/>
          </w:tcPr>
          <w:p w:rsidR="00A42D7E" w:rsidRPr="00A0472D" w:rsidRDefault="00A42D7E" w:rsidP="00BE41DB">
            <w:pPr>
              <w:spacing w:after="0" w:line="20" w:lineRule="atLeast"/>
              <w:rPr>
                <w:sz w:val="18"/>
                <w:szCs w:val="18"/>
              </w:rPr>
            </w:pPr>
            <w:r w:rsidRPr="008152C4">
              <w:rPr>
                <w:sz w:val="18"/>
                <w:szCs w:val="18"/>
              </w:rPr>
              <w:t>Growth poles</w:t>
            </w:r>
          </w:p>
        </w:tc>
        <w:tc>
          <w:tcPr>
            <w:tcW w:w="5670" w:type="dxa"/>
            <w:shd w:val="clear" w:color="auto" w:fill="FFFFFF" w:themeFill="background1"/>
          </w:tcPr>
          <w:p w:rsidR="00A42D7E" w:rsidRPr="009A189D" w:rsidRDefault="00A42D7E" w:rsidP="00BE41DB">
            <w:pPr>
              <w:spacing w:after="0" w:line="20" w:lineRule="atLeast"/>
              <w:rPr>
                <w:rFonts w:cs="Calibri"/>
                <w:sz w:val="18"/>
                <w:szCs w:val="18"/>
                <w:lang w:eastAsia="fr-FR"/>
              </w:rPr>
            </w:pPr>
            <w:r w:rsidRPr="009A189D">
              <w:rPr>
                <w:rFonts w:cs="Calibri"/>
                <w:sz w:val="18"/>
                <w:szCs w:val="18"/>
                <w:lang w:eastAsia="fr-FR"/>
              </w:rPr>
              <w:t>It provides evidence about performance and roles of European secondary cities (see from figure 2 to 2.12).</w:t>
            </w:r>
          </w:p>
        </w:tc>
      </w:tr>
      <w:tr w:rsidR="00A42D7E" w:rsidRPr="00A0472D" w:rsidTr="00BE41DB">
        <w:trPr>
          <w:trHeight w:val="274"/>
        </w:trPr>
        <w:tc>
          <w:tcPr>
            <w:tcW w:w="1276" w:type="dxa"/>
            <w:shd w:val="clear" w:color="auto" w:fill="FFFFFF" w:themeFill="background1"/>
          </w:tcPr>
          <w:p w:rsidR="00A42D7E" w:rsidRPr="00A0472D" w:rsidRDefault="00A42D7E" w:rsidP="00BE41DB">
            <w:pPr>
              <w:spacing w:after="0" w:line="20" w:lineRule="atLeast"/>
              <w:rPr>
                <w:sz w:val="18"/>
                <w:szCs w:val="18"/>
              </w:rPr>
            </w:pPr>
            <w:r w:rsidRPr="00A0472D">
              <w:rPr>
                <w:sz w:val="18"/>
                <w:szCs w:val="18"/>
              </w:rPr>
              <w:t>TERCO</w:t>
            </w:r>
          </w:p>
        </w:tc>
        <w:tc>
          <w:tcPr>
            <w:tcW w:w="1418" w:type="dxa"/>
            <w:shd w:val="clear" w:color="auto" w:fill="FFFFFF" w:themeFill="background1"/>
          </w:tcPr>
          <w:p w:rsidR="00A42D7E" w:rsidRPr="00A0472D" w:rsidRDefault="00A42D7E" w:rsidP="00BE41DB">
            <w:pPr>
              <w:spacing w:after="0" w:line="20" w:lineRule="atLeast"/>
              <w:rPr>
                <w:sz w:val="18"/>
                <w:szCs w:val="18"/>
              </w:rPr>
            </w:pPr>
            <w:r w:rsidRPr="00A0472D">
              <w:rPr>
                <w:sz w:val="18"/>
                <w:szCs w:val="18"/>
              </w:rPr>
              <w:t>Territorial cooperation</w:t>
            </w:r>
          </w:p>
        </w:tc>
        <w:tc>
          <w:tcPr>
            <w:tcW w:w="5670" w:type="dxa"/>
            <w:shd w:val="clear" w:color="auto" w:fill="FFFFFF" w:themeFill="background1"/>
          </w:tcPr>
          <w:p w:rsidR="00A42D7E" w:rsidRPr="009A189D" w:rsidRDefault="00A42D7E" w:rsidP="00BE41DB">
            <w:pPr>
              <w:spacing w:after="0" w:line="20" w:lineRule="atLeast"/>
              <w:rPr>
                <w:rFonts w:cs="Calibri"/>
                <w:sz w:val="18"/>
                <w:szCs w:val="18"/>
                <w:lang w:eastAsia="fr-FR"/>
              </w:rPr>
            </w:pPr>
            <w:r w:rsidRPr="009A189D">
              <w:rPr>
                <w:rFonts w:cs="Calibri"/>
                <w:sz w:val="18"/>
                <w:szCs w:val="18"/>
                <w:lang w:eastAsia="fr-FR"/>
              </w:rPr>
              <w:t xml:space="preserve">It </w:t>
            </w:r>
            <w:r>
              <w:rPr>
                <w:rFonts w:cs="Calibri"/>
                <w:sz w:val="18"/>
                <w:szCs w:val="18"/>
                <w:lang w:eastAsia="fr-FR"/>
              </w:rPr>
              <w:t>analyses</w:t>
            </w:r>
            <w:r w:rsidRPr="009A189D">
              <w:rPr>
                <w:rFonts w:cs="Calibri"/>
                <w:sz w:val="18"/>
                <w:szCs w:val="18"/>
                <w:lang w:eastAsia="fr-FR"/>
              </w:rPr>
              <w:t xml:space="preserve"> transports, accessibility, demography, competitiveness</w:t>
            </w:r>
            <w:r>
              <w:rPr>
                <w:rFonts w:cs="Calibri"/>
                <w:sz w:val="18"/>
                <w:szCs w:val="18"/>
                <w:lang w:eastAsia="fr-FR"/>
              </w:rPr>
              <w:t xml:space="preserve"> and in particular</w:t>
            </w:r>
            <w:r w:rsidRPr="009A189D">
              <w:rPr>
                <w:rFonts w:cs="Calibri"/>
                <w:sz w:val="18"/>
                <w:szCs w:val="18"/>
                <w:lang w:eastAsia="fr-FR"/>
              </w:rPr>
              <w:t xml:space="preserve"> </w:t>
            </w:r>
            <w:proofErr w:type="spellStart"/>
            <w:r w:rsidRPr="009A189D">
              <w:rPr>
                <w:rFonts w:cs="Calibri"/>
                <w:sz w:val="18"/>
                <w:szCs w:val="18"/>
                <w:lang w:eastAsia="fr-FR"/>
              </w:rPr>
              <w:t>Prešovský</w:t>
            </w:r>
            <w:proofErr w:type="spellEnd"/>
            <w:r w:rsidRPr="009A189D">
              <w:rPr>
                <w:rFonts w:cs="Calibri"/>
                <w:sz w:val="18"/>
                <w:szCs w:val="18"/>
                <w:lang w:eastAsia="fr-FR"/>
              </w:rPr>
              <w:t xml:space="preserve"> </w:t>
            </w:r>
            <w:proofErr w:type="spellStart"/>
            <w:r w:rsidRPr="009A189D">
              <w:rPr>
                <w:rFonts w:cs="Calibri"/>
                <w:sz w:val="18"/>
                <w:szCs w:val="18"/>
                <w:lang w:eastAsia="fr-FR"/>
              </w:rPr>
              <w:t>kraj</w:t>
            </w:r>
            <w:proofErr w:type="spellEnd"/>
            <w:r w:rsidRPr="009A189D">
              <w:rPr>
                <w:rFonts w:cs="Calibri"/>
                <w:sz w:val="18"/>
                <w:szCs w:val="18"/>
                <w:lang w:eastAsia="fr-FR"/>
              </w:rPr>
              <w:t xml:space="preserve"> and </w:t>
            </w:r>
            <w:proofErr w:type="spellStart"/>
            <w:r w:rsidRPr="009A189D">
              <w:rPr>
                <w:rFonts w:cs="Calibri"/>
                <w:sz w:val="18"/>
                <w:szCs w:val="18"/>
                <w:lang w:eastAsia="fr-FR"/>
              </w:rPr>
              <w:t>Krośnieńsko-Przemyski</w:t>
            </w:r>
            <w:proofErr w:type="spellEnd"/>
            <w:r w:rsidRPr="009A189D">
              <w:rPr>
                <w:rFonts w:cs="Calibri"/>
                <w:sz w:val="18"/>
                <w:szCs w:val="18"/>
                <w:lang w:eastAsia="fr-FR"/>
              </w:rPr>
              <w:t xml:space="preserve"> (see main and scientific report).</w:t>
            </w:r>
          </w:p>
        </w:tc>
      </w:tr>
      <w:tr w:rsidR="00A42D7E" w:rsidTr="00BE41DB">
        <w:trPr>
          <w:trHeight w:val="27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Pr="00D86674" w:rsidRDefault="00A42D7E" w:rsidP="00BE41DB">
            <w:pPr>
              <w:spacing w:after="0" w:line="20" w:lineRule="atLeast"/>
              <w:rPr>
                <w:sz w:val="18"/>
                <w:szCs w:val="18"/>
              </w:rPr>
            </w:pPr>
            <w:r w:rsidRPr="0049059F">
              <w:rPr>
                <w:sz w:val="18"/>
                <w:szCs w:val="18"/>
              </w:rPr>
              <w:t>TRACC</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Pr="00D86674" w:rsidRDefault="00A42D7E" w:rsidP="00BE41DB">
            <w:pPr>
              <w:spacing w:after="0" w:line="20" w:lineRule="atLeast"/>
              <w:rPr>
                <w:sz w:val="18"/>
                <w:szCs w:val="18"/>
              </w:rPr>
            </w:pPr>
            <w:r w:rsidRPr="0049059F">
              <w:rPr>
                <w:sz w:val="18"/>
                <w:szCs w:val="18"/>
              </w:rPr>
              <w:t>Transport accessibility</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Pr="009A189D" w:rsidRDefault="00A42D7E" w:rsidP="00BE41DB">
            <w:pPr>
              <w:spacing w:after="0" w:line="20" w:lineRule="atLeast"/>
              <w:rPr>
                <w:rFonts w:cs="Calibri"/>
                <w:sz w:val="18"/>
                <w:szCs w:val="18"/>
                <w:lang w:eastAsia="fr-FR"/>
              </w:rPr>
            </w:pPr>
            <w:r>
              <w:rPr>
                <w:rFonts w:cs="Calibri"/>
                <w:sz w:val="18"/>
                <w:szCs w:val="18"/>
                <w:lang w:eastAsia="fr-FR"/>
              </w:rPr>
              <w:t xml:space="preserve">It provides support to the policy </w:t>
            </w:r>
            <w:r w:rsidRPr="009A189D">
              <w:rPr>
                <w:rFonts w:cs="Calibri"/>
                <w:sz w:val="18"/>
                <w:szCs w:val="18"/>
                <w:lang w:eastAsia="fr-FR"/>
              </w:rPr>
              <w:t>in the fields of transport</w:t>
            </w:r>
            <w:r>
              <w:rPr>
                <w:rFonts w:cs="Calibri"/>
                <w:sz w:val="18"/>
                <w:szCs w:val="18"/>
                <w:lang w:eastAsia="fr-FR"/>
              </w:rPr>
              <w:t xml:space="preserve"> and i</w:t>
            </w:r>
            <w:r w:rsidRPr="009A189D">
              <w:rPr>
                <w:rFonts w:cs="Calibri"/>
                <w:sz w:val="18"/>
                <w:szCs w:val="18"/>
                <w:lang w:eastAsia="fr-FR"/>
              </w:rPr>
              <w:t>t focuses on the</w:t>
            </w:r>
            <w:r>
              <w:rPr>
                <w:rFonts w:cs="Calibri"/>
                <w:sz w:val="18"/>
                <w:szCs w:val="18"/>
                <w:lang w:eastAsia="fr-FR"/>
              </w:rPr>
              <w:t xml:space="preserve"> region</w:t>
            </w:r>
            <w:r w:rsidRPr="009A189D">
              <w:rPr>
                <w:rFonts w:cs="Calibri"/>
                <w:sz w:val="18"/>
                <w:szCs w:val="18"/>
                <w:lang w:eastAsia="fr-FR"/>
              </w:rPr>
              <w:t xml:space="preserve"> of </w:t>
            </w:r>
            <w:proofErr w:type="spellStart"/>
            <w:r w:rsidRPr="009A189D">
              <w:rPr>
                <w:rFonts w:cs="Calibri"/>
                <w:sz w:val="18"/>
                <w:szCs w:val="18"/>
                <w:lang w:eastAsia="fr-FR"/>
              </w:rPr>
              <w:t>Krośnieńsko-Przemyski</w:t>
            </w:r>
            <w:proofErr w:type="spellEnd"/>
            <w:r w:rsidRPr="009A189D">
              <w:rPr>
                <w:rFonts w:cs="Calibri"/>
                <w:sz w:val="18"/>
                <w:szCs w:val="18"/>
                <w:lang w:eastAsia="fr-FR"/>
              </w:rPr>
              <w:t>.</w:t>
            </w:r>
          </w:p>
        </w:tc>
      </w:tr>
      <w:tr w:rsidR="00A42D7E" w:rsidRPr="00572A9E" w:rsidTr="00BE41DB">
        <w:trPr>
          <w:trHeight w:val="27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Pr="00572A9E" w:rsidRDefault="00A42D7E" w:rsidP="00BE41DB">
            <w:pPr>
              <w:spacing w:after="0" w:line="20" w:lineRule="atLeast"/>
              <w:rPr>
                <w:sz w:val="18"/>
                <w:szCs w:val="18"/>
              </w:rPr>
            </w:pPr>
            <w:r w:rsidRPr="008F3D30">
              <w:rPr>
                <w:sz w:val="18"/>
                <w:szCs w:val="18"/>
              </w:rPr>
              <w:t xml:space="preserve">DEMIFER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Default="00A42D7E" w:rsidP="00BE41DB">
            <w:pPr>
              <w:spacing w:after="0" w:line="20" w:lineRule="atLeast"/>
              <w:rPr>
                <w:sz w:val="18"/>
                <w:szCs w:val="18"/>
              </w:rPr>
            </w:pPr>
            <w:r>
              <w:rPr>
                <w:sz w:val="18"/>
                <w:szCs w:val="18"/>
              </w:rPr>
              <w:t>Demography</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Pr="009A189D" w:rsidRDefault="00A42D7E" w:rsidP="00BE41DB">
            <w:pPr>
              <w:spacing w:after="0" w:line="20" w:lineRule="atLeast"/>
              <w:rPr>
                <w:rFonts w:cs="Calibri"/>
                <w:sz w:val="18"/>
                <w:szCs w:val="18"/>
                <w:lang w:eastAsia="fr-FR"/>
              </w:rPr>
            </w:pPr>
            <w:r w:rsidRPr="009A189D">
              <w:rPr>
                <w:rFonts w:cs="Calibri"/>
                <w:sz w:val="18"/>
                <w:szCs w:val="18"/>
                <w:lang w:eastAsia="fr-FR"/>
              </w:rPr>
              <w:t>It</w:t>
            </w:r>
            <w:r>
              <w:rPr>
                <w:rFonts w:cs="Calibri"/>
                <w:sz w:val="18"/>
                <w:szCs w:val="18"/>
                <w:lang w:eastAsia="fr-FR"/>
              </w:rPr>
              <w:t xml:space="preserve"> analyses </w:t>
            </w:r>
            <w:r w:rsidRPr="009A189D">
              <w:rPr>
                <w:rFonts w:cs="Calibri"/>
                <w:sz w:val="18"/>
                <w:szCs w:val="18"/>
                <w:lang w:eastAsia="fr-FR"/>
              </w:rPr>
              <w:t>migration</w:t>
            </w:r>
            <w:r>
              <w:rPr>
                <w:rFonts w:cs="Calibri"/>
                <w:sz w:val="18"/>
                <w:szCs w:val="18"/>
                <w:lang w:eastAsia="fr-FR"/>
              </w:rPr>
              <w:t xml:space="preserve"> and in the region </w:t>
            </w:r>
            <w:r w:rsidRPr="009A189D">
              <w:rPr>
                <w:rFonts w:cs="Calibri"/>
                <w:sz w:val="18"/>
                <w:szCs w:val="18"/>
                <w:lang w:eastAsia="fr-FR"/>
              </w:rPr>
              <w:t>of Mecklenburg-</w:t>
            </w:r>
            <w:proofErr w:type="gramStart"/>
            <w:r w:rsidRPr="009A189D">
              <w:rPr>
                <w:rFonts w:cs="Calibri"/>
                <w:sz w:val="18"/>
                <w:szCs w:val="18"/>
                <w:lang w:eastAsia="fr-FR"/>
              </w:rPr>
              <w:t>Vorpommern(</w:t>
            </w:r>
            <w:proofErr w:type="gramEnd"/>
            <w:r w:rsidRPr="009A189D">
              <w:rPr>
                <w:rFonts w:cs="Calibri"/>
                <w:sz w:val="18"/>
                <w:szCs w:val="18"/>
                <w:lang w:eastAsia="fr-FR"/>
              </w:rPr>
              <w:t xml:space="preserve">see maps 1-12 and Annex D12-3). </w:t>
            </w:r>
          </w:p>
        </w:tc>
      </w:tr>
      <w:tr w:rsidR="00A42D7E" w:rsidRPr="00572A9E" w:rsidTr="00BE41DB">
        <w:trPr>
          <w:trHeight w:val="27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Pr="008F3D30" w:rsidRDefault="00A42D7E" w:rsidP="00BE41DB">
            <w:pPr>
              <w:spacing w:after="0" w:line="20" w:lineRule="atLeast"/>
              <w:rPr>
                <w:sz w:val="18"/>
                <w:szCs w:val="18"/>
              </w:rPr>
            </w:pPr>
            <w:proofErr w:type="spellStart"/>
            <w:r w:rsidRPr="003C631E">
              <w:rPr>
                <w:sz w:val="18"/>
                <w:szCs w:val="18"/>
              </w:rPr>
              <w:t>ReRisk</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Default="00A42D7E" w:rsidP="00BE41DB">
            <w:pPr>
              <w:spacing w:after="0" w:line="20" w:lineRule="atLeast"/>
              <w:rPr>
                <w:sz w:val="18"/>
                <w:szCs w:val="18"/>
              </w:rPr>
            </w:pPr>
            <w:r>
              <w:rPr>
                <w:sz w:val="18"/>
                <w:szCs w:val="18"/>
              </w:rPr>
              <w:t>Energy</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A42D7E" w:rsidRPr="009A189D" w:rsidRDefault="00A42D7E" w:rsidP="00BE41DB">
            <w:pPr>
              <w:spacing w:after="0" w:line="20" w:lineRule="atLeast"/>
              <w:rPr>
                <w:rFonts w:cs="Calibri"/>
                <w:sz w:val="18"/>
                <w:szCs w:val="18"/>
                <w:lang w:eastAsia="fr-FR"/>
              </w:rPr>
            </w:pPr>
            <w:r w:rsidRPr="009A189D">
              <w:rPr>
                <w:rFonts w:cs="Calibri"/>
                <w:sz w:val="18"/>
                <w:szCs w:val="18"/>
                <w:lang w:eastAsia="fr-FR"/>
              </w:rPr>
              <w:t xml:space="preserve">The project focuses on opportunities to support competitive and clean energy supplies and on the Kalmar county (SE). </w:t>
            </w:r>
          </w:p>
        </w:tc>
      </w:tr>
    </w:tbl>
    <w:p w:rsidR="00A42D7E" w:rsidRDefault="00A42D7E" w:rsidP="00A42D7E">
      <w:pPr>
        <w:spacing w:before="80" w:after="80"/>
      </w:pPr>
      <w:r>
        <w:t>Furthermore, some of overall ESPON products of particular interest for territorial cooperation are:</w:t>
      </w:r>
    </w:p>
    <w:p w:rsidR="00A42D7E" w:rsidRDefault="00A42D7E" w:rsidP="00A42D7E">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42D7E" w:rsidRDefault="00A42D7E" w:rsidP="00A42D7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42D7E" w:rsidRPr="00A33083" w:rsidRDefault="00A42D7E" w:rsidP="00A42D7E">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A42D7E" w:rsidRDefault="00A42D7E" w:rsidP="00A42D7E">
      <w:pPr>
        <w:pStyle w:val="ListParagraph"/>
        <w:numPr>
          <w:ilvl w:val="0"/>
          <w:numId w:val="4"/>
        </w:numPr>
      </w:pPr>
      <w:r w:rsidRPr="00112693">
        <w:rPr>
          <w:b/>
        </w:rPr>
        <w:t xml:space="preserve">ESPON </w:t>
      </w:r>
      <w:proofErr w:type="spellStart"/>
      <w:r w:rsidRPr="00112693">
        <w:rPr>
          <w:b/>
        </w:rPr>
        <w:t>Hyperaltas</w:t>
      </w:r>
      <w:proofErr w:type="spellEnd"/>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A42D7E" w:rsidRPr="00CD642B" w:rsidRDefault="00A42D7E" w:rsidP="00A42D7E">
      <w:pPr>
        <w:pStyle w:val="ListParagraph"/>
        <w:numPr>
          <w:ilvl w:val="0"/>
          <w:numId w:val="4"/>
        </w:numPr>
      </w:pPr>
      <w:r w:rsidRPr="00112693">
        <w:rPr>
          <w:b/>
        </w:rPr>
        <w:t xml:space="preserve">ESPON </w:t>
      </w:r>
      <w:proofErr w:type="spellStart"/>
      <w:r w:rsidRPr="00112693">
        <w:rPr>
          <w:b/>
        </w:rPr>
        <w:t>MapFinder</w:t>
      </w:r>
      <w:proofErr w:type="spellEnd"/>
      <w:r w:rsidRPr="00CD642B">
        <w:t xml:space="preserve"> provides access to the most relevant ESPON maps resulting from ESPON projects and reports. </w:t>
      </w:r>
    </w:p>
    <w:p w:rsidR="00A42D7E" w:rsidRDefault="00A42D7E" w:rsidP="00A42D7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A42D7E" w:rsidRPr="003E2CCE" w:rsidRDefault="00A42D7E" w:rsidP="00A42D7E">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F101C4" w:rsidRPr="00F101C4">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73560" w:rsidRPr="00FB783A" w:rsidRDefault="00073560"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4FE" w:rsidRDefault="00D514FE">
      <w:r>
        <w:separator/>
      </w:r>
    </w:p>
  </w:endnote>
  <w:endnote w:type="continuationSeparator" w:id="0">
    <w:p w:rsidR="00D514FE" w:rsidRDefault="00D514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560" w:rsidRDefault="00F101C4" w:rsidP="00BC65E1">
    <w:pPr>
      <w:framePr w:wrap="around" w:vAnchor="text" w:hAnchor="margin" w:xAlign="right" w:y="1"/>
      <w:rPr>
        <w:rStyle w:val="PageNumber"/>
      </w:rPr>
    </w:pPr>
    <w:r>
      <w:rPr>
        <w:rStyle w:val="PageNumber"/>
      </w:rPr>
      <w:fldChar w:fldCharType="begin"/>
    </w:r>
    <w:r w:rsidR="00073560">
      <w:rPr>
        <w:rStyle w:val="PageNumber"/>
      </w:rPr>
      <w:instrText xml:space="preserve">PAGE  </w:instrText>
    </w:r>
    <w:r>
      <w:rPr>
        <w:rStyle w:val="PageNumber"/>
      </w:rPr>
      <w:fldChar w:fldCharType="separate"/>
    </w:r>
    <w:r w:rsidR="00073560">
      <w:rPr>
        <w:rStyle w:val="PageNumber"/>
        <w:noProof/>
      </w:rPr>
      <w:t>3</w:t>
    </w:r>
    <w:r>
      <w:rPr>
        <w:rStyle w:val="PageNumber"/>
      </w:rPr>
      <w:fldChar w:fldCharType="end"/>
    </w:r>
  </w:p>
  <w:p w:rsidR="00073560" w:rsidRDefault="00073560">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560" w:rsidRPr="00A15B61" w:rsidRDefault="00F101C4" w:rsidP="00BC65E1">
    <w:pPr>
      <w:pStyle w:val="Footer"/>
      <w:framePr w:wrap="around" w:vAnchor="text" w:hAnchor="margin" w:xAlign="right" w:y="1"/>
      <w:rPr>
        <w:rStyle w:val="PageNumber"/>
      </w:rPr>
    </w:pPr>
    <w:r w:rsidRPr="00A15B61">
      <w:rPr>
        <w:rStyle w:val="PageNumber"/>
        <w:szCs w:val="20"/>
      </w:rPr>
      <w:fldChar w:fldCharType="begin"/>
    </w:r>
    <w:r w:rsidR="00073560">
      <w:rPr>
        <w:rStyle w:val="PageNumber"/>
        <w:szCs w:val="20"/>
      </w:rPr>
      <w:instrText>PAGE</w:instrText>
    </w:r>
    <w:r w:rsidR="00073560" w:rsidRPr="00A15B61">
      <w:rPr>
        <w:rStyle w:val="PageNumber"/>
        <w:szCs w:val="20"/>
      </w:rPr>
      <w:instrText xml:space="preserve">  </w:instrText>
    </w:r>
    <w:r w:rsidRPr="00A15B61">
      <w:rPr>
        <w:rStyle w:val="PageNumber"/>
        <w:szCs w:val="20"/>
      </w:rPr>
      <w:fldChar w:fldCharType="separate"/>
    </w:r>
    <w:r w:rsidR="00E87F75">
      <w:rPr>
        <w:rStyle w:val="PageNumber"/>
        <w:noProof/>
        <w:szCs w:val="20"/>
      </w:rPr>
      <w:t>1</w:t>
    </w:r>
    <w:r w:rsidRPr="00A15B61">
      <w:rPr>
        <w:rStyle w:val="PageNumber"/>
        <w:szCs w:val="20"/>
      </w:rPr>
      <w:fldChar w:fldCharType="end"/>
    </w:r>
  </w:p>
  <w:p w:rsidR="00073560" w:rsidRPr="00A15B61" w:rsidRDefault="00073560"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560" w:rsidRPr="00A15B61" w:rsidRDefault="00F101C4" w:rsidP="00BC65E1">
    <w:pPr>
      <w:pStyle w:val="Footer"/>
      <w:framePr w:wrap="around" w:vAnchor="text" w:hAnchor="margin" w:xAlign="right" w:y="1"/>
      <w:rPr>
        <w:rStyle w:val="PageNumber"/>
      </w:rPr>
    </w:pPr>
    <w:r w:rsidRPr="00A15B61">
      <w:rPr>
        <w:rStyle w:val="PageNumber"/>
        <w:szCs w:val="20"/>
      </w:rPr>
      <w:fldChar w:fldCharType="begin"/>
    </w:r>
    <w:r w:rsidR="00073560">
      <w:rPr>
        <w:rStyle w:val="PageNumber"/>
        <w:szCs w:val="20"/>
      </w:rPr>
      <w:instrText>PAGE</w:instrText>
    </w:r>
    <w:r w:rsidR="00073560" w:rsidRPr="00A15B61">
      <w:rPr>
        <w:rStyle w:val="PageNumber"/>
        <w:szCs w:val="20"/>
      </w:rPr>
      <w:instrText xml:space="preserve">  </w:instrText>
    </w:r>
    <w:r w:rsidRPr="00A15B61">
      <w:rPr>
        <w:rStyle w:val="PageNumber"/>
        <w:szCs w:val="20"/>
      </w:rPr>
      <w:fldChar w:fldCharType="separate"/>
    </w:r>
    <w:r w:rsidR="00E87F75">
      <w:rPr>
        <w:rStyle w:val="PageNumber"/>
        <w:noProof/>
        <w:szCs w:val="20"/>
      </w:rPr>
      <w:t>2</w:t>
    </w:r>
    <w:r w:rsidRPr="00A15B61">
      <w:rPr>
        <w:rStyle w:val="PageNumber"/>
        <w:szCs w:val="20"/>
      </w:rPr>
      <w:fldChar w:fldCharType="end"/>
    </w:r>
  </w:p>
  <w:p w:rsidR="00073560" w:rsidRPr="00A15B61" w:rsidRDefault="00073560"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4FE" w:rsidRDefault="00D514FE">
      <w:r>
        <w:separator/>
      </w:r>
    </w:p>
  </w:footnote>
  <w:footnote w:type="continuationSeparator" w:id="0">
    <w:p w:rsidR="00D514FE" w:rsidRDefault="00D514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560" w:rsidRDefault="00F101C4">
    <w:pPr>
      <w:pStyle w:val="Header"/>
    </w:pPr>
    <w:r w:rsidRPr="00F101C4">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073560" w:rsidRDefault="00073560"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073560" w:rsidRPr="00721B03" w:rsidRDefault="00073560"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73560">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560" w:rsidRDefault="000735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560"/>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0DA7"/>
    <w:rsid w:val="000C36A1"/>
    <w:rsid w:val="000C4070"/>
    <w:rsid w:val="000C716F"/>
    <w:rsid w:val="000C7E05"/>
    <w:rsid w:val="000D0D18"/>
    <w:rsid w:val="000D57C9"/>
    <w:rsid w:val="000D7CC4"/>
    <w:rsid w:val="000E5193"/>
    <w:rsid w:val="000E6C33"/>
    <w:rsid w:val="000E6CC8"/>
    <w:rsid w:val="000E76EB"/>
    <w:rsid w:val="000F1BA2"/>
    <w:rsid w:val="000F2140"/>
    <w:rsid w:val="000F7586"/>
    <w:rsid w:val="00103243"/>
    <w:rsid w:val="00104631"/>
    <w:rsid w:val="00105B9D"/>
    <w:rsid w:val="00112060"/>
    <w:rsid w:val="001120BB"/>
    <w:rsid w:val="00112693"/>
    <w:rsid w:val="0011785C"/>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016D"/>
    <w:rsid w:val="00210751"/>
    <w:rsid w:val="0021343D"/>
    <w:rsid w:val="002146DB"/>
    <w:rsid w:val="00214B8B"/>
    <w:rsid w:val="0022077E"/>
    <w:rsid w:val="00220A8C"/>
    <w:rsid w:val="002214A4"/>
    <w:rsid w:val="00221A45"/>
    <w:rsid w:val="00223DE3"/>
    <w:rsid w:val="002250F3"/>
    <w:rsid w:val="00227652"/>
    <w:rsid w:val="002371D8"/>
    <w:rsid w:val="00253237"/>
    <w:rsid w:val="0025373C"/>
    <w:rsid w:val="00255DC9"/>
    <w:rsid w:val="002605E0"/>
    <w:rsid w:val="0026077F"/>
    <w:rsid w:val="00264534"/>
    <w:rsid w:val="00265996"/>
    <w:rsid w:val="00267A49"/>
    <w:rsid w:val="00276DA6"/>
    <w:rsid w:val="00281A82"/>
    <w:rsid w:val="00282854"/>
    <w:rsid w:val="00285BF3"/>
    <w:rsid w:val="002923B9"/>
    <w:rsid w:val="00293ABA"/>
    <w:rsid w:val="00293DE9"/>
    <w:rsid w:val="00294042"/>
    <w:rsid w:val="002949F4"/>
    <w:rsid w:val="0029682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054A"/>
    <w:rsid w:val="003A27BC"/>
    <w:rsid w:val="003A2F36"/>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1A5A"/>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33090"/>
    <w:rsid w:val="004353CB"/>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3DBF"/>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4A85"/>
    <w:rsid w:val="00526E5A"/>
    <w:rsid w:val="0052742C"/>
    <w:rsid w:val="005322AA"/>
    <w:rsid w:val="00541834"/>
    <w:rsid w:val="0054220D"/>
    <w:rsid w:val="005433C5"/>
    <w:rsid w:val="005439D3"/>
    <w:rsid w:val="00545F8A"/>
    <w:rsid w:val="005463AC"/>
    <w:rsid w:val="00552FAD"/>
    <w:rsid w:val="00556D25"/>
    <w:rsid w:val="00562AB0"/>
    <w:rsid w:val="0056756F"/>
    <w:rsid w:val="00571653"/>
    <w:rsid w:val="00571A61"/>
    <w:rsid w:val="00571C81"/>
    <w:rsid w:val="0057346D"/>
    <w:rsid w:val="00576082"/>
    <w:rsid w:val="005761A6"/>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2ADA"/>
    <w:rsid w:val="005E463C"/>
    <w:rsid w:val="005E4E4C"/>
    <w:rsid w:val="005E6290"/>
    <w:rsid w:val="005F24DD"/>
    <w:rsid w:val="005F7BDC"/>
    <w:rsid w:val="0060091E"/>
    <w:rsid w:val="00610DAB"/>
    <w:rsid w:val="0061557D"/>
    <w:rsid w:val="0061660C"/>
    <w:rsid w:val="00616DE9"/>
    <w:rsid w:val="0061757F"/>
    <w:rsid w:val="006326AB"/>
    <w:rsid w:val="00633FE2"/>
    <w:rsid w:val="006379CF"/>
    <w:rsid w:val="00643649"/>
    <w:rsid w:val="006441ED"/>
    <w:rsid w:val="00645CD2"/>
    <w:rsid w:val="0065085F"/>
    <w:rsid w:val="00654361"/>
    <w:rsid w:val="0065695B"/>
    <w:rsid w:val="00657472"/>
    <w:rsid w:val="00657E48"/>
    <w:rsid w:val="00660A8B"/>
    <w:rsid w:val="006637D6"/>
    <w:rsid w:val="00664ACE"/>
    <w:rsid w:val="006743AD"/>
    <w:rsid w:val="00674C93"/>
    <w:rsid w:val="00680B22"/>
    <w:rsid w:val="0068242A"/>
    <w:rsid w:val="00682613"/>
    <w:rsid w:val="00682B57"/>
    <w:rsid w:val="006847A3"/>
    <w:rsid w:val="00686866"/>
    <w:rsid w:val="00690277"/>
    <w:rsid w:val="0069219F"/>
    <w:rsid w:val="00695762"/>
    <w:rsid w:val="006A17A6"/>
    <w:rsid w:val="006A30AF"/>
    <w:rsid w:val="006A3291"/>
    <w:rsid w:val="006A5610"/>
    <w:rsid w:val="006A5F96"/>
    <w:rsid w:val="006A7FE2"/>
    <w:rsid w:val="006B0A66"/>
    <w:rsid w:val="006B48FD"/>
    <w:rsid w:val="006B59A1"/>
    <w:rsid w:val="006C481B"/>
    <w:rsid w:val="006D18CA"/>
    <w:rsid w:val="006D3D3E"/>
    <w:rsid w:val="006D4D0B"/>
    <w:rsid w:val="006D5157"/>
    <w:rsid w:val="006D5350"/>
    <w:rsid w:val="006D6890"/>
    <w:rsid w:val="006E1A6B"/>
    <w:rsid w:val="006E4366"/>
    <w:rsid w:val="006E5E38"/>
    <w:rsid w:val="006E618B"/>
    <w:rsid w:val="006F0BC4"/>
    <w:rsid w:val="006F222E"/>
    <w:rsid w:val="006F49F1"/>
    <w:rsid w:val="006F4E16"/>
    <w:rsid w:val="007000D5"/>
    <w:rsid w:val="00702CB8"/>
    <w:rsid w:val="00707885"/>
    <w:rsid w:val="0071023A"/>
    <w:rsid w:val="007107A7"/>
    <w:rsid w:val="007119D4"/>
    <w:rsid w:val="00712430"/>
    <w:rsid w:val="007153BD"/>
    <w:rsid w:val="00716E65"/>
    <w:rsid w:val="007172A4"/>
    <w:rsid w:val="007244F6"/>
    <w:rsid w:val="00724928"/>
    <w:rsid w:val="00725832"/>
    <w:rsid w:val="00726D46"/>
    <w:rsid w:val="007300AD"/>
    <w:rsid w:val="00732C90"/>
    <w:rsid w:val="00733EE4"/>
    <w:rsid w:val="007370BC"/>
    <w:rsid w:val="007375D5"/>
    <w:rsid w:val="007423B2"/>
    <w:rsid w:val="007456E2"/>
    <w:rsid w:val="00747707"/>
    <w:rsid w:val="00761029"/>
    <w:rsid w:val="0076148F"/>
    <w:rsid w:val="007656EC"/>
    <w:rsid w:val="0076706E"/>
    <w:rsid w:val="00770B59"/>
    <w:rsid w:val="00771843"/>
    <w:rsid w:val="0077695D"/>
    <w:rsid w:val="0078171A"/>
    <w:rsid w:val="00782183"/>
    <w:rsid w:val="007831EE"/>
    <w:rsid w:val="00783B76"/>
    <w:rsid w:val="00783F35"/>
    <w:rsid w:val="007842F4"/>
    <w:rsid w:val="0078590B"/>
    <w:rsid w:val="00787861"/>
    <w:rsid w:val="00791D68"/>
    <w:rsid w:val="0079272B"/>
    <w:rsid w:val="007949EF"/>
    <w:rsid w:val="0079633F"/>
    <w:rsid w:val="0079657F"/>
    <w:rsid w:val="00796C3C"/>
    <w:rsid w:val="00797BEC"/>
    <w:rsid w:val="007A39E3"/>
    <w:rsid w:val="007A48EF"/>
    <w:rsid w:val="007A4E31"/>
    <w:rsid w:val="007A508C"/>
    <w:rsid w:val="007A5C06"/>
    <w:rsid w:val="007A5D52"/>
    <w:rsid w:val="007A5E35"/>
    <w:rsid w:val="007B19A0"/>
    <w:rsid w:val="007B59B6"/>
    <w:rsid w:val="007B7ADB"/>
    <w:rsid w:val="007C4FF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2794F"/>
    <w:rsid w:val="008321A8"/>
    <w:rsid w:val="00832BD6"/>
    <w:rsid w:val="00833DB0"/>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0C5A"/>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809"/>
    <w:rsid w:val="00931A61"/>
    <w:rsid w:val="0093778A"/>
    <w:rsid w:val="0094059F"/>
    <w:rsid w:val="00943F1C"/>
    <w:rsid w:val="00946375"/>
    <w:rsid w:val="00951B33"/>
    <w:rsid w:val="00952C12"/>
    <w:rsid w:val="00952C76"/>
    <w:rsid w:val="009540EB"/>
    <w:rsid w:val="009607D7"/>
    <w:rsid w:val="0096491D"/>
    <w:rsid w:val="00971C9B"/>
    <w:rsid w:val="009727D3"/>
    <w:rsid w:val="009729A4"/>
    <w:rsid w:val="00973416"/>
    <w:rsid w:val="00974016"/>
    <w:rsid w:val="00974649"/>
    <w:rsid w:val="00977AED"/>
    <w:rsid w:val="00977EA9"/>
    <w:rsid w:val="00983AB6"/>
    <w:rsid w:val="00983E84"/>
    <w:rsid w:val="0098671A"/>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2D7E"/>
    <w:rsid w:val="00A433AA"/>
    <w:rsid w:val="00A447B6"/>
    <w:rsid w:val="00A457AA"/>
    <w:rsid w:val="00A46196"/>
    <w:rsid w:val="00A47168"/>
    <w:rsid w:val="00A51B2C"/>
    <w:rsid w:val="00A55855"/>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033A"/>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137A"/>
    <w:rsid w:val="00B43B1B"/>
    <w:rsid w:val="00B45029"/>
    <w:rsid w:val="00B472A4"/>
    <w:rsid w:val="00B47314"/>
    <w:rsid w:val="00B47EEE"/>
    <w:rsid w:val="00B51A9A"/>
    <w:rsid w:val="00B54542"/>
    <w:rsid w:val="00B5590A"/>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01C"/>
    <w:rsid w:val="00C421CA"/>
    <w:rsid w:val="00C4507A"/>
    <w:rsid w:val="00C459D5"/>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13EC"/>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E7BF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4FE"/>
    <w:rsid w:val="00D515B8"/>
    <w:rsid w:val="00D51F83"/>
    <w:rsid w:val="00D52B90"/>
    <w:rsid w:val="00D52DB1"/>
    <w:rsid w:val="00D54869"/>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38DC"/>
    <w:rsid w:val="00DF76E3"/>
    <w:rsid w:val="00E00F01"/>
    <w:rsid w:val="00E02024"/>
    <w:rsid w:val="00E03013"/>
    <w:rsid w:val="00E03104"/>
    <w:rsid w:val="00E03ABA"/>
    <w:rsid w:val="00E04EC2"/>
    <w:rsid w:val="00E10213"/>
    <w:rsid w:val="00E108F5"/>
    <w:rsid w:val="00E11808"/>
    <w:rsid w:val="00E13BE4"/>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6CA"/>
    <w:rsid w:val="00E57FE0"/>
    <w:rsid w:val="00E613A3"/>
    <w:rsid w:val="00E621AC"/>
    <w:rsid w:val="00E628D7"/>
    <w:rsid w:val="00E6468A"/>
    <w:rsid w:val="00E701B2"/>
    <w:rsid w:val="00E709E6"/>
    <w:rsid w:val="00E71207"/>
    <w:rsid w:val="00E71AAB"/>
    <w:rsid w:val="00E727A7"/>
    <w:rsid w:val="00E73444"/>
    <w:rsid w:val="00E742A9"/>
    <w:rsid w:val="00E746F4"/>
    <w:rsid w:val="00E77F26"/>
    <w:rsid w:val="00E855FF"/>
    <w:rsid w:val="00E87F75"/>
    <w:rsid w:val="00E93CA8"/>
    <w:rsid w:val="00E9598B"/>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F11A3"/>
    <w:rsid w:val="00EF6DEE"/>
    <w:rsid w:val="00EF7B30"/>
    <w:rsid w:val="00F0164C"/>
    <w:rsid w:val="00F023B8"/>
    <w:rsid w:val="00F10068"/>
    <w:rsid w:val="00F101C4"/>
    <w:rsid w:val="00F11DC3"/>
    <w:rsid w:val="00F156E0"/>
    <w:rsid w:val="00F158C5"/>
    <w:rsid w:val="00F20E21"/>
    <w:rsid w:val="00F212C3"/>
    <w:rsid w:val="00F252AD"/>
    <w:rsid w:val="00F320EF"/>
    <w:rsid w:val="00F3218A"/>
    <w:rsid w:val="00F34787"/>
    <w:rsid w:val="00F358CB"/>
    <w:rsid w:val="00F405D2"/>
    <w:rsid w:val="00F43666"/>
    <w:rsid w:val="00F47743"/>
    <w:rsid w:val="00F519FB"/>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4EF4"/>
    <w:rsid w:val="00FD54FE"/>
    <w:rsid w:val="00FD6260"/>
    <w:rsid w:val="00FD70D0"/>
    <w:rsid w:val="00FE7D95"/>
    <w:rsid w:val="00FF56E3"/>
    <w:rsid w:val="00FF5806"/>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53744469">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58362665">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51249374">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31B6FC3A-D567-4FDB-AD55-91D2B9F76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2892</Words>
  <Characters>16486</Characters>
  <Application>Microsoft Office Word</Application>
  <DocSecurity>0</DocSecurity>
  <Lines>137</Lines>
  <Paragraphs>38</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19340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2012-10-25T07:57:00Z</cp:lastPrinted>
  <dcterms:created xsi:type="dcterms:W3CDTF">2012-11-20T11:18:00Z</dcterms:created>
  <dcterms:modified xsi:type="dcterms:W3CDTF">2012-11-27T13:09:00Z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