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F6C" w:rsidRDefault="00904F6C" w:rsidP="00BC65E1"/>
    <w:p w:rsidR="00904F6C" w:rsidRDefault="00904F6C" w:rsidP="00BC65E1"/>
    <w:p w:rsidR="00904F6C" w:rsidRDefault="00904F6C" w:rsidP="00BC65E1"/>
    <w:p w:rsidR="00904F6C" w:rsidRDefault="00904F6C" w:rsidP="00BC65E1">
      <w:pPr>
        <w:jc w:val="center"/>
        <w:rPr>
          <w:rFonts w:ascii="Arial" w:hAnsi="Arial" w:cs="Arial"/>
          <w:sz w:val="32"/>
          <w:szCs w:val="32"/>
          <w:lang w:val="en-US"/>
        </w:rPr>
      </w:pPr>
    </w:p>
    <w:p w:rsidR="00904F6C" w:rsidRDefault="00904F6C" w:rsidP="00BC65E1">
      <w:pPr>
        <w:jc w:val="center"/>
        <w:rPr>
          <w:rFonts w:ascii="Arial" w:hAnsi="Arial" w:cs="Arial"/>
          <w:sz w:val="32"/>
          <w:szCs w:val="32"/>
          <w:lang w:val="en-US"/>
        </w:rPr>
      </w:pPr>
    </w:p>
    <w:p w:rsidR="00904F6C" w:rsidRDefault="00904F6C" w:rsidP="00BC65E1">
      <w:pPr>
        <w:spacing w:after="0" w:line="240" w:lineRule="auto"/>
        <w:jc w:val="center"/>
        <w:rPr>
          <w:rFonts w:ascii="Arial" w:hAnsi="Arial" w:cs="Arial"/>
          <w:sz w:val="32"/>
          <w:szCs w:val="32"/>
          <w:lang w:val="en-US"/>
        </w:rPr>
      </w:pPr>
    </w:p>
    <w:p w:rsidR="00904F6C" w:rsidRDefault="00904F6C" w:rsidP="00BC65E1">
      <w:pPr>
        <w:spacing w:after="0" w:line="240" w:lineRule="auto"/>
        <w:jc w:val="center"/>
        <w:rPr>
          <w:rFonts w:ascii="Arial" w:hAnsi="Arial" w:cs="Arial"/>
          <w:sz w:val="32"/>
          <w:szCs w:val="32"/>
          <w:lang w:val="en-US"/>
        </w:rPr>
      </w:pPr>
    </w:p>
    <w:p w:rsidR="00904F6C" w:rsidRDefault="00904F6C" w:rsidP="00BC65E1">
      <w:pPr>
        <w:spacing w:after="0" w:line="240" w:lineRule="auto"/>
        <w:jc w:val="center"/>
        <w:rPr>
          <w:rFonts w:ascii="Arial" w:hAnsi="Arial" w:cs="Arial"/>
          <w:sz w:val="32"/>
          <w:szCs w:val="32"/>
          <w:lang w:val="en-US"/>
        </w:rPr>
      </w:pPr>
    </w:p>
    <w:p w:rsidR="00904F6C" w:rsidRDefault="00904F6C" w:rsidP="00BC65E1">
      <w:pPr>
        <w:spacing w:after="0" w:line="240" w:lineRule="auto"/>
        <w:jc w:val="center"/>
        <w:rPr>
          <w:rFonts w:ascii="Arial" w:hAnsi="Arial" w:cs="Arial"/>
          <w:sz w:val="32"/>
          <w:szCs w:val="32"/>
          <w:lang w:val="en-US"/>
        </w:rPr>
      </w:pPr>
    </w:p>
    <w:p w:rsidR="00904F6C" w:rsidRDefault="00904F6C" w:rsidP="00FC5035">
      <w:pPr>
        <w:spacing w:after="0" w:line="240" w:lineRule="auto"/>
        <w:rPr>
          <w:rFonts w:ascii="Arial" w:hAnsi="Arial" w:cs="Arial"/>
          <w:sz w:val="32"/>
          <w:szCs w:val="32"/>
          <w:lang w:val="en-US"/>
        </w:rPr>
      </w:pPr>
    </w:p>
    <w:p w:rsidR="00904F6C" w:rsidRPr="00710F16" w:rsidRDefault="00710F16" w:rsidP="000D3299">
      <w:pPr>
        <w:spacing w:line="240" w:lineRule="auto"/>
        <w:ind w:left="-851"/>
        <w:jc w:val="center"/>
        <w:rPr>
          <w:rFonts w:ascii="Arial" w:hAnsi="Arial" w:cs="Arial"/>
          <w:sz w:val="36"/>
          <w:szCs w:val="36"/>
          <w:lang w:val="en-US"/>
        </w:rPr>
      </w:pPr>
      <w:r w:rsidRPr="00710F16">
        <w:rPr>
          <w:rFonts w:ascii="Arial" w:hAnsi="Arial" w:cs="Arial"/>
          <w:sz w:val="36"/>
          <w:szCs w:val="36"/>
          <w:lang w:val="en-US"/>
        </w:rPr>
        <w:t xml:space="preserve">Northern Ireland – Border Region of </w:t>
      </w:r>
      <w:r w:rsidR="00904F6C" w:rsidRPr="00710F16">
        <w:rPr>
          <w:rFonts w:ascii="Arial" w:hAnsi="Arial" w:cs="Arial"/>
          <w:sz w:val="36"/>
          <w:szCs w:val="36"/>
          <w:lang w:val="en-US"/>
        </w:rPr>
        <w:t xml:space="preserve">Ireland – </w:t>
      </w:r>
      <w:r w:rsidRPr="00710F16">
        <w:rPr>
          <w:rFonts w:ascii="Arial" w:hAnsi="Arial" w:cs="Arial"/>
          <w:sz w:val="36"/>
          <w:szCs w:val="36"/>
          <w:lang w:val="en-US"/>
        </w:rPr>
        <w:t xml:space="preserve">Western </w:t>
      </w:r>
      <w:r w:rsidR="00904F6C" w:rsidRPr="00710F16">
        <w:rPr>
          <w:rFonts w:ascii="Arial" w:hAnsi="Arial" w:cs="Arial"/>
          <w:sz w:val="36"/>
          <w:szCs w:val="36"/>
          <w:lang w:val="en-US"/>
        </w:rPr>
        <w:t>Scotland</w:t>
      </w:r>
    </w:p>
    <w:p w:rsidR="00904F6C" w:rsidRDefault="005A07DE"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7968" behindDoc="0" locked="0" layoutInCell="1" allowOverlap="1">
            <wp:simplePos x="0" y="0"/>
            <wp:positionH relativeFrom="column">
              <wp:posOffset>3000375</wp:posOffset>
            </wp:positionH>
            <wp:positionV relativeFrom="paragraph">
              <wp:posOffset>3872230</wp:posOffset>
            </wp:positionV>
            <wp:extent cx="915035" cy="414655"/>
            <wp:effectExtent l="19050" t="0" r="0" b="0"/>
            <wp:wrapNone/>
            <wp:docPr id="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7"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2A520E">
        <w:rPr>
          <w:rFonts w:ascii="Arial" w:hAnsi="Arial" w:cs="Arial"/>
          <w:noProof/>
          <w:sz w:val="32"/>
          <w:szCs w:val="32"/>
          <w:lang w:val="en-US"/>
        </w:rPr>
        <w:drawing>
          <wp:inline distT="0" distB="0" distL="0" distR="0">
            <wp:extent cx="2672080" cy="4572000"/>
            <wp:effectExtent l="2540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srcRect/>
                    <a:stretch>
                      <a:fillRect/>
                    </a:stretch>
                  </pic:blipFill>
                  <pic:spPr bwMode="auto">
                    <a:xfrm>
                      <a:off x="0" y="0"/>
                      <a:ext cx="2672080" cy="4572000"/>
                    </a:xfrm>
                    <a:prstGeom prst="rect">
                      <a:avLst/>
                    </a:prstGeom>
                    <a:noFill/>
                    <a:ln w="9525">
                      <a:noFill/>
                      <a:miter lim="800000"/>
                      <a:headEnd/>
                      <a:tailEnd/>
                    </a:ln>
                  </pic:spPr>
                </pic:pic>
              </a:graphicData>
            </a:graphic>
          </wp:inline>
        </w:drawing>
      </w:r>
    </w:p>
    <w:p w:rsidR="00904F6C" w:rsidRDefault="00904F6C" w:rsidP="00337519">
      <w:pPr>
        <w:spacing w:after="0" w:line="240" w:lineRule="auto"/>
        <w:ind w:left="-851"/>
        <w:jc w:val="center"/>
        <w:rPr>
          <w:rFonts w:ascii="Arial" w:hAnsi="Arial" w:cs="Arial"/>
          <w:sz w:val="32"/>
          <w:szCs w:val="32"/>
          <w:lang w:val="en-US"/>
        </w:rPr>
      </w:pPr>
    </w:p>
    <w:p w:rsidR="005F5C4D" w:rsidRDefault="005F5C4D" w:rsidP="005F5C4D">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5F5C4D" w:rsidRDefault="005F5C4D" w:rsidP="005F5C4D">
      <w:pPr>
        <w:spacing w:after="0" w:line="240" w:lineRule="auto"/>
        <w:ind w:left="-851"/>
        <w:jc w:val="center"/>
        <w:rPr>
          <w:rFonts w:ascii="Arial" w:hAnsi="Arial" w:cs="Arial"/>
        </w:rPr>
      </w:pPr>
      <w:r>
        <w:rPr>
          <w:rFonts w:ascii="Arial" w:hAnsi="Arial" w:cs="Arial"/>
          <w:sz w:val="32"/>
          <w:szCs w:val="32"/>
          <w:lang w:val="en-US"/>
        </w:rPr>
        <w:t>November 2012</w:t>
      </w:r>
    </w:p>
    <w:p w:rsidR="00904F6C" w:rsidRPr="00127102" w:rsidRDefault="00904F6C" w:rsidP="00BC65E1">
      <w:pPr>
        <w:pStyle w:val="ESPONColophon"/>
        <w:ind w:left="810"/>
        <w:rPr>
          <w:rFonts w:ascii="Arial" w:hAnsi="Arial" w:cs="Arial"/>
        </w:rPr>
      </w:pPr>
    </w:p>
    <w:p w:rsidR="00904F6C" w:rsidRPr="00127102" w:rsidRDefault="00904F6C" w:rsidP="00BC65E1">
      <w:pPr>
        <w:pStyle w:val="ESPONColophon"/>
        <w:ind w:left="810"/>
        <w:rPr>
          <w:rFonts w:ascii="Arial" w:hAnsi="Arial" w:cs="Arial"/>
        </w:rPr>
        <w:sectPr w:rsidR="00904F6C" w:rsidRPr="00127102">
          <w:headerReference w:type="default" r:id="rId9"/>
          <w:footerReference w:type="even" r:id="rId10"/>
          <w:footerReference w:type="default" r:id="rId11"/>
          <w:pgSz w:w="11906" w:h="16838"/>
          <w:pgMar w:top="0" w:right="851" w:bottom="1644" w:left="1701" w:header="708" w:footer="708" w:gutter="0"/>
          <w:cols w:space="708"/>
        </w:sectPr>
      </w:pPr>
    </w:p>
    <w:p w:rsidR="00904F6C" w:rsidRPr="006955F2" w:rsidRDefault="00904F6C" w:rsidP="00133602">
      <w:pPr>
        <w:pStyle w:val="Heading1"/>
        <w:numPr>
          <w:ilvl w:val="0"/>
          <w:numId w:val="0"/>
        </w:numPr>
        <w:ind w:left="432" w:hanging="432"/>
      </w:pPr>
      <w:r>
        <w:lastRenderedPageBreak/>
        <w:t>Introduction</w:t>
      </w:r>
    </w:p>
    <w:p w:rsidR="00904F6C" w:rsidRDefault="00904F6C"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904F6C" w:rsidRDefault="00904F6C" w:rsidP="000A647A">
      <w:r>
        <w:t xml:space="preserve">The ESPON TERREVI project focuses on producing evidence for Structural Funds programmes with the aim to support the development of the programmes to be carried out in the 2014-2020 period. </w:t>
      </w:r>
    </w:p>
    <w:p w:rsidR="00904F6C" w:rsidRDefault="00904F6C"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904F6C" w:rsidRPr="007456E2" w:rsidRDefault="00904F6C"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904F6C" w:rsidRDefault="00904F6C" w:rsidP="00A265BE">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p>
    <w:p w:rsidR="00904F6C" w:rsidRDefault="00904F6C" w:rsidP="00BA161A">
      <w:pPr>
        <w:pStyle w:val="Heading1"/>
      </w:pPr>
      <w:r>
        <w:t xml:space="preserve">Europe 2020 </w:t>
      </w:r>
    </w:p>
    <w:p w:rsidR="00904F6C" w:rsidRDefault="00904F6C"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904F6C" w:rsidRDefault="00904F6C"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904F6C" w:rsidRDefault="00904F6C" w:rsidP="000A647A">
      <w:r>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904F6C" w:rsidRDefault="00904F6C" w:rsidP="008A68FF">
      <w:pPr>
        <w:spacing w:after="240"/>
        <w:rPr>
          <w:lang w:val="en-US"/>
        </w:rPr>
      </w:pPr>
      <w:r>
        <w:rPr>
          <w:lang w:val="en-US"/>
        </w:rPr>
        <w:lastRenderedPageBreak/>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9F2D06" w:rsidRDefault="009F2D06" w:rsidP="009F2D06">
      <w:r>
        <w:t>In the following the traffic light for each indicator represents how your programme territory compares to wider European and national medians where green = your programme area performs better for that indicator, yel</w:t>
      </w:r>
      <w:r w:rsidR="00A51BC2">
        <w:t>low = similar, and red = worse.</w:t>
      </w:r>
    </w:p>
    <w:p w:rsidR="00F84C17" w:rsidRDefault="00F84C17" w:rsidP="00F84C17">
      <w:r>
        <w:t>In creating the traffic</w:t>
      </w:r>
      <w:r w:rsidR="009F2D06">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F2218C" w:rsidRPr="00973E76" w:rsidRDefault="00F2218C" w:rsidP="00F2218C">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904F6C" w:rsidRDefault="00904F6C" w:rsidP="00337872">
      <w:pPr>
        <w:pStyle w:val="Heading3"/>
      </w:pPr>
      <w:r w:rsidRPr="00687F33">
        <w:t>Smart growth</w:t>
      </w:r>
      <w:r w:rsidRPr="00337872">
        <w:t xml:space="preserve"> </w:t>
      </w:r>
    </w:p>
    <w:p w:rsidR="00904F6C" w:rsidRDefault="00904F6C"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C068DF" w:rsidRDefault="00C068DF" w:rsidP="00C33A99">
      <w:r>
        <w:rPr>
          <w:noProof/>
          <w:lang w:val="en-US"/>
        </w:rPr>
        <w:drawing>
          <wp:anchor distT="0" distB="0" distL="114300" distR="114300" simplePos="0" relativeHeight="251677184" behindDoc="1" locked="0" layoutInCell="1" allowOverlap="1">
            <wp:simplePos x="0" y="0"/>
            <wp:positionH relativeFrom="column">
              <wp:posOffset>-16510</wp:posOffset>
            </wp:positionH>
            <wp:positionV relativeFrom="paragraph">
              <wp:posOffset>26035</wp:posOffset>
            </wp:positionV>
            <wp:extent cx="5273675" cy="2668270"/>
            <wp:effectExtent l="19050" t="0" r="3175" b="0"/>
            <wp:wrapTight wrapText="bothSides">
              <wp:wrapPolygon edited="0">
                <wp:start x="-78" y="0"/>
                <wp:lineTo x="-78" y="21436"/>
                <wp:lineTo x="21613" y="21436"/>
                <wp:lineTo x="21613" y="0"/>
                <wp:lineTo x="-78" y="0"/>
              </wp:wrapPolygon>
            </wp:wrapTight>
            <wp:docPr id="3" name="Bild 1" descr="P:\LU_2011_ESPON_TerrEvi_100269\03_Project development\WorkinProgress_FactSheets\Factsheets_CBC_neu\TL_CBC2\CBC Programme Northern_Ireland_the_Border_Reg_of_Ire_and_W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2\CBC Programme Northern_Ireland_the_Border_Reg_of_Ire_and_WS 1.png"/>
                    <pic:cNvPicPr>
                      <a:picLocks noChangeAspect="1" noChangeArrowheads="1"/>
                    </pic:cNvPicPr>
                  </pic:nvPicPr>
                  <pic:blipFill>
                    <a:blip r:embed="rId12" cstate="print"/>
                    <a:srcRect/>
                    <a:stretch>
                      <a:fillRect/>
                    </a:stretch>
                  </pic:blipFill>
                  <pic:spPr bwMode="auto">
                    <a:xfrm>
                      <a:off x="0" y="0"/>
                      <a:ext cx="5273675" cy="2668270"/>
                    </a:xfrm>
                    <a:prstGeom prst="rect">
                      <a:avLst/>
                    </a:prstGeom>
                    <a:noFill/>
                    <a:ln w="9525">
                      <a:noFill/>
                      <a:miter lim="800000"/>
                      <a:headEnd/>
                      <a:tailEnd/>
                    </a:ln>
                  </pic:spPr>
                </pic:pic>
              </a:graphicData>
            </a:graphic>
          </wp:anchor>
        </w:drawing>
      </w:r>
    </w:p>
    <w:p w:rsidR="00B92442" w:rsidRPr="003603D1" w:rsidRDefault="00B92442" w:rsidP="00B92442">
      <w:r w:rsidRPr="003603D1">
        <w:t xml:space="preserve">According to all indicators reported above, the </w:t>
      </w:r>
      <w:r w:rsidR="00B53A13" w:rsidRPr="00B53A13">
        <w:t>Northern Ireland – Border Region of Ireland – Western Scotland</w:t>
      </w:r>
      <w:r w:rsidR="00B53A13">
        <w:t xml:space="preserve"> </w:t>
      </w:r>
      <w:r w:rsidRPr="003603D1">
        <w:t>CBC area performs in a better or at least similar way compared to the EU27+4 space and all CBC ones. Considering the o</w:t>
      </w:r>
      <w:r>
        <w:t xml:space="preserve">bjective of R&amp;D expenditure as </w:t>
      </w:r>
      <w:r w:rsidRPr="003603D1">
        <w:t>percentage of the GDP - one of the five headline targets in the Europe 2020 Strategy - the CBC area is in a better position than the EU27+4 space and all CBC. Moreo</w:t>
      </w:r>
      <w:r>
        <w:t>ver, the CBC area is characteris</w:t>
      </w:r>
      <w:r w:rsidRPr="003603D1">
        <w:t xml:space="preserve">ed by a medium level of internal disparity and </w:t>
      </w:r>
      <w:r>
        <w:t xml:space="preserve">similarly </w:t>
      </w:r>
      <w:r w:rsidRPr="003603D1">
        <w:t xml:space="preserve">performs to the United Kingdom </w:t>
      </w:r>
      <w:r>
        <w:t>but</w:t>
      </w:r>
      <w:r w:rsidRPr="003603D1">
        <w:t xml:space="preserve"> a worse one than Ireland.</w:t>
      </w:r>
    </w:p>
    <w:p w:rsidR="00B92442" w:rsidRPr="003603D1" w:rsidRDefault="00B92442" w:rsidP="00B92442">
      <w:r w:rsidRPr="003603D1">
        <w:lastRenderedPageBreak/>
        <w:t>Concerning the ratio of employment in knowledge-intensive service</w:t>
      </w:r>
      <w:r>
        <w:t>s</w:t>
      </w:r>
      <w:r w:rsidRPr="003603D1">
        <w:t xml:space="preserve"> to the total employment in 2010, the CBC area has higher values than the EU27+4 space, all CBCs and Ireland;</w:t>
      </w:r>
      <w:r>
        <w:t xml:space="preserve"> but</w:t>
      </w:r>
      <w:r w:rsidRPr="003603D1">
        <w:t xml:space="preserve"> similar </w:t>
      </w:r>
      <w:r>
        <w:t xml:space="preserve">values </w:t>
      </w:r>
      <w:r w:rsidRPr="003603D1">
        <w:t xml:space="preserve">to the United Kingdom. The distribution inside the CBC results in a low level of internal disparity. </w:t>
      </w:r>
    </w:p>
    <w:p w:rsidR="00B92442" w:rsidRPr="00B92990" w:rsidRDefault="00B92442" w:rsidP="00B92442">
      <w:r>
        <w:t xml:space="preserve">In terms of </w:t>
      </w:r>
      <w:r w:rsidRPr="003603D1">
        <w:t>percentage of individuals regularly using internet in 2011, the CBC has the same values as the EU27+4 space and all CBCs, but it performs slightly better than Ireland and worse than the United Kingdom, with a low</w:t>
      </w:r>
      <w:r>
        <w:t xml:space="preserve"> level of</w:t>
      </w:r>
      <w:r w:rsidRPr="003603D1">
        <w:t xml:space="preserve"> internal disparity.</w:t>
      </w:r>
    </w:p>
    <w:p w:rsidR="004A0FE9" w:rsidRPr="00B92990" w:rsidRDefault="004A0FE9" w:rsidP="004A0FE9">
      <w:r>
        <w:t>According to</w:t>
      </w:r>
      <w:r w:rsidRPr="00B92990">
        <w:t xml:space="preserve"> the </w:t>
      </w:r>
      <w:r>
        <w:t>classification o</w:t>
      </w:r>
      <w:r w:rsidRPr="00B92990">
        <w:t xml:space="preserve">f the KIT project, </w:t>
      </w:r>
      <w:r>
        <w:t>MAP 1</w:t>
      </w:r>
      <w:r w:rsidRPr="00B92990">
        <w:t xml:space="preserve"> identifies </w:t>
      </w:r>
      <w:r>
        <w:t>a varied</w:t>
      </w:r>
      <w:r w:rsidRPr="00B92990">
        <w:t xml:space="preserve"> territorial pattern of innovation: </w:t>
      </w:r>
    </w:p>
    <w:p w:rsidR="004A0FE9" w:rsidRPr="00B92442" w:rsidRDefault="004A0FE9" w:rsidP="004A0FE9">
      <w:pPr>
        <w:pStyle w:val="ListParagraph"/>
        <w:numPr>
          <w:ilvl w:val="0"/>
          <w:numId w:val="14"/>
        </w:numPr>
        <w:spacing w:line="240" w:lineRule="atLeast"/>
        <w:rPr>
          <w:szCs w:val="20"/>
        </w:rPr>
      </w:pPr>
      <w:r>
        <w:rPr>
          <w:rFonts w:cstheme="minorHAnsi"/>
          <w:szCs w:val="20"/>
        </w:rPr>
        <w:t>‘</w:t>
      </w: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w:t>
      </w:r>
      <w:r>
        <w:rPr>
          <w:rFonts w:cstheme="minorHAnsi"/>
          <w:szCs w:val="20"/>
        </w:rPr>
        <w:t>Northern Ireland and Western Scotland.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4A0FE9" w:rsidRPr="00B92442" w:rsidRDefault="004A0FE9" w:rsidP="004A0FE9">
      <w:pPr>
        <w:pStyle w:val="ListParagraph"/>
        <w:numPr>
          <w:ilvl w:val="0"/>
          <w:numId w:val="14"/>
        </w:numPr>
        <w:spacing w:line="240" w:lineRule="atLeast"/>
        <w:rPr>
          <w:szCs w:val="20"/>
        </w:rPr>
      </w:pPr>
      <w:r w:rsidRPr="00B92442">
        <w:rPr>
          <w:rFonts w:cstheme="minorHAnsi"/>
          <w:szCs w:val="20"/>
        </w:rPr>
        <w:t>‘Smart technological application area’, in the rest of the CBC</w:t>
      </w:r>
      <w:r>
        <w:rPr>
          <w:rFonts w:cstheme="minorHAnsi"/>
          <w:szCs w:val="20"/>
        </w:rPr>
        <w:t>, i.e. t</w:t>
      </w:r>
      <w:r w:rsidRPr="005305BA">
        <w:rPr>
          <w:rFonts w:cstheme="minorHAnsi"/>
          <w:szCs w:val="20"/>
        </w:rPr>
        <w:t>he Border Region of Ireland</w:t>
      </w:r>
      <w:r>
        <w:rPr>
          <w:rFonts w:cstheme="minorHAnsi"/>
          <w:szCs w:val="20"/>
        </w:rPr>
        <w:t xml:space="preserve">, </w:t>
      </w:r>
      <w:r w:rsidRPr="005305BA">
        <w:rPr>
          <w:rFonts w:cstheme="minorHAnsi"/>
          <w:szCs w:val="20"/>
        </w:rPr>
        <w:t>Dumfries and Galloway</w:t>
      </w:r>
      <w:r>
        <w:rPr>
          <w:rFonts w:cstheme="minorHAnsi"/>
          <w:szCs w:val="20"/>
        </w:rPr>
        <w:t>,</w:t>
      </w:r>
      <w:r w:rsidRPr="005305BA">
        <w:rPr>
          <w:rFonts w:cstheme="minorHAnsi"/>
          <w:szCs w:val="20"/>
        </w:rPr>
        <w:t xml:space="preserve"> Ayrshire</w:t>
      </w:r>
      <w:r w:rsidRPr="00B92442">
        <w:rPr>
          <w:rFonts w:cstheme="minorHAnsi"/>
          <w:szCs w:val="20"/>
        </w:rPr>
        <w:t>. It is defined by a high product innovation level, with a limited degree of local applied science and R&amp;D endowment, and a high creativity which allows translating external basic science and applied science knowledge into innovation.</w:t>
      </w:r>
    </w:p>
    <w:p w:rsidR="00904F6C" w:rsidRDefault="00904F6C" w:rsidP="00B92442">
      <w:r>
        <w:br w:type="page"/>
      </w:r>
    </w:p>
    <w:p w:rsidR="00904F6C" w:rsidRPr="004C764D" w:rsidRDefault="00904F6C"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w:t>
      </w:r>
      <w:r w:rsidR="00710F16">
        <w:rPr>
          <w:b/>
        </w:rPr>
        <w:t xml:space="preserve">Northern </w:t>
      </w:r>
      <w:r>
        <w:rPr>
          <w:b/>
        </w:rPr>
        <w:t xml:space="preserve">Ireland – </w:t>
      </w:r>
      <w:r w:rsidR="00710F16">
        <w:rPr>
          <w:b/>
        </w:rPr>
        <w:t xml:space="preserve">Border Region of Ireland – Western </w:t>
      </w:r>
      <w:r>
        <w:rPr>
          <w:b/>
        </w:rPr>
        <w:t>Scotland</w:t>
      </w:r>
    </w:p>
    <w:p w:rsidR="00904F6C" w:rsidRPr="00710F16" w:rsidRDefault="00904F6C" w:rsidP="008A3B96">
      <w:pPr>
        <w:rPr>
          <w:lang w:val="en-US"/>
        </w:rPr>
      </w:pPr>
    </w:p>
    <w:p w:rsidR="00904F6C" w:rsidRDefault="00C7296F" w:rsidP="008A3B96">
      <w:pPr>
        <w:spacing w:after="0" w:line="240" w:lineRule="auto"/>
      </w:pPr>
      <w:r w:rsidRPr="00C7296F">
        <w:rPr>
          <w:noProof/>
          <w:lang w:val="de-DE" w:eastAsia="de-DE"/>
        </w:rPr>
        <w:pict>
          <v:shape id="_x0000_s1044" style="position:absolute;left:0;text-align:left;margin-left:66.05pt;margin-top:138.75pt;width:44.4pt;height:49.5pt;z-index:251668992"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009A1E8F">
        <w:rPr>
          <w:noProof/>
          <w:lang w:val="en-US"/>
        </w:rPr>
        <w:drawing>
          <wp:inline distT="0" distB="0" distL="0" distR="0">
            <wp:extent cx="5278755" cy="6284584"/>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904F6C" w:rsidRDefault="00904F6C" w:rsidP="008A3B96"/>
    <w:p w:rsidR="00904F6C" w:rsidRDefault="00904F6C">
      <w:pPr>
        <w:spacing w:after="0" w:line="240" w:lineRule="auto"/>
        <w:jc w:val="left"/>
      </w:pPr>
      <w:r>
        <w:br w:type="page"/>
      </w:r>
    </w:p>
    <w:p w:rsidR="00904F6C" w:rsidRDefault="00904F6C" w:rsidP="004F26B8">
      <w:pPr>
        <w:pStyle w:val="Heading3"/>
      </w:pPr>
      <w:r w:rsidRPr="00496FAE">
        <w:lastRenderedPageBreak/>
        <w:t>Sustainable growth</w:t>
      </w:r>
      <w:r w:rsidRPr="00337872">
        <w:t xml:space="preserve"> </w:t>
      </w:r>
    </w:p>
    <w:p w:rsidR="00904F6C" w:rsidRDefault="00904F6C"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B53A13">
        <w:t>. In the framework of the Europe</w:t>
      </w:r>
      <w:r>
        <w:t xml:space="preserve"> 2020 Strategy it means focus on competitiveness, resource efficiency, climate change and biodiversity.</w:t>
      </w:r>
    </w:p>
    <w:p w:rsidR="00904F6C" w:rsidRPr="009C7E22" w:rsidRDefault="00C068DF" w:rsidP="00B5018A">
      <w:pPr>
        <w:rPr>
          <w:szCs w:val="20"/>
        </w:rPr>
      </w:pPr>
      <w:r>
        <w:rPr>
          <w:noProof/>
          <w:lang w:val="en-US"/>
        </w:rPr>
        <w:drawing>
          <wp:anchor distT="0" distB="0" distL="114300" distR="114300" simplePos="0" relativeHeight="251678208" behindDoc="1" locked="0" layoutInCell="1" allowOverlap="1">
            <wp:simplePos x="0" y="0"/>
            <wp:positionH relativeFrom="column">
              <wp:posOffset>17145</wp:posOffset>
            </wp:positionH>
            <wp:positionV relativeFrom="paragraph">
              <wp:posOffset>10160</wp:posOffset>
            </wp:positionV>
            <wp:extent cx="5273675" cy="2912745"/>
            <wp:effectExtent l="19050" t="0" r="3175" b="0"/>
            <wp:wrapTight wrapText="bothSides">
              <wp:wrapPolygon edited="0">
                <wp:start x="-78" y="0"/>
                <wp:lineTo x="-78" y="21473"/>
                <wp:lineTo x="21613" y="21473"/>
                <wp:lineTo x="21613" y="0"/>
                <wp:lineTo x="-78" y="0"/>
              </wp:wrapPolygon>
            </wp:wrapTight>
            <wp:docPr id="5" name="Bild 2" descr="P:\LU_2011_ESPON_TerrEvi_100269\03_Project development\WorkinProgress_FactSheets\Factsheets_CBC_neu\TL_CBC2\CBC Programme Northern_Ireland_the_Border_Reg_of_Ire_and_W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2\CBC Programme Northern_Ireland_the_Border_Reg_of_Ire_and_WS 2.png"/>
                    <pic:cNvPicPr>
                      <a:picLocks noChangeAspect="1" noChangeArrowheads="1"/>
                    </pic:cNvPicPr>
                  </pic:nvPicPr>
                  <pic:blipFill>
                    <a:blip r:embed="rId14" cstate="print"/>
                    <a:srcRect/>
                    <a:stretch>
                      <a:fillRect/>
                    </a:stretch>
                  </pic:blipFill>
                  <pic:spPr bwMode="auto">
                    <a:xfrm>
                      <a:off x="0" y="0"/>
                      <a:ext cx="5273675" cy="2912745"/>
                    </a:xfrm>
                    <a:prstGeom prst="rect">
                      <a:avLst/>
                    </a:prstGeom>
                    <a:noFill/>
                    <a:ln w="9525">
                      <a:noFill/>
                      <a:miter lim="800000"/>
                      <a:headEnd/>
                      <a:tailEnd/>
                    </a:ln>
                  </pic:spPr>
                </pic:pic>
              </a:graphicData>
            </a:graphic>
          </wp:anchor>
        </w:drawing>
      </w:r>
      <w:r w:rsidR="00496FAE" w:rsidRPr="00496FAE">
        <w:t xml:space="preserve">The use of wind energy potential could be one of the cornerstones in building a competitive low-carbon economy in the EU. </w:t>
      </w:r>
      <w:r w:rsidR="00904F6C" w:rsidRPr="00496FAE">
        <w:rPr>
          <w:szCs w:val="20"/>
        </w:rPr>
        <w:t>The</w:t>
      </w:r>
      <w:r w:rsidR="00904F6C">
        <w:rPr>
          <w:szCs w:val="20"/>
        </w:rPr>
        <w:t xml:space="preserve"> wind energy potential of</w:t>
      </w:r>
      <w:r w:rsidR="00904F6C" w:rsidRPr="00CC030D">
        <w:rPr>
          <w:szCs w:val="20"/>
        </w:rPr>
        <w:t xml:space="preserve"> </w:t>
      </w:r>
      <w:r w:rsidR="008323DA">
        <w:rPr>
          <w:szCs w:val="20"/>
        </w:rPr>
        <w:t xml:space="preserve">the </w:t>
      </w:r>
      <w:r w:rsidR="00F62865" w:rsidRPr="00B53A13">
        <w:t>Northern Ireland – Border Region of Ireland – Western Scotland</w:t>
      </w:r>
      <w:r w:rsidR="00F62865" w:rsidRPr="00CC030D">
        <w:rPr>
          <w:szCs w:val="20"/>
        </w:rPr>
        <w:t xml:space="preserve"> </w:t>
      </w:r>
      <w:r w:rsidR="00904F6C" w:rsidRPr="00CC030D">
        <w:rPr>
          <w:szCs w:val="20"/>
        </w:rPr>
        <w:t xml:space="preserve">programme area </w:t>
      </w:r>
      <w:r w:rsidR="00496FAE">
        <w:rPr>
          <w:szCs w:val="20"/>
        </w:rPr>
        <w:t>is characterised by</w:t>
      </w:r>
      <w:r w:rsidR="00904F6C" w:rsidRPr="00CC030D">
        <w:rPr>
          <w:szCs w:val="20"/>
        </w:rPr>
        <w:t xml:space="preserve"> a median value that is </w:t>
      </w:r>
      <w:r w:rsidR="00904F6C">
        <w:rPr>
          <w:szCs w:val="20"/>
        </w:rPr>
        <w:t>particularly</w:t>
      </w:r>
      <w:r w:rsidR="00904F6C" w:rsidRPr="00CC030D">
        <w:rPr>
          <w:szCs w:val="20"/>
        </w:rPr>
        <w:t xml:space="preserve"> </w:t>
      </w:r>
      <w:r w:rsidR="00904F6C">
        <w:rPr>
          <w:szCs w:val="20"/>
        </w:rPr>
        <w:t>high compared to</w:t>
      </w:r>
      <w:r w:rsidR="00904F6C" w:rsidRPr="00CC030D">
        <w:rPr>
          <w:szCs w:val="20"/>
        </w:rPr>
        <w:t xml:space="preserve"> </w:t>
      </w:r>
      <w:r w:rsidR="00496FAE">
        <w:rPr>
          <w:szCs w:val="20"/>
        </w:rPr>
        <w:t xml:space="preserve">the </w:t>
      </w:r>
      <w:r w:rsidR="00904F6C">
        <w:rPr>
          <w:szCs w:val="20"/>
        </w:rPr>
        <w:t>EU-27+4</w:t>
      </w:r>
      <w:r w:rsidR="00904F6C" w:rsidRPr="00CC030D">
        <w:rPr>
          <w:szCs w:val="20"/>
        </w:rPr>
        <w:t xml:space="preserve"> and</w:t>
      </w:r>
      <w:r w:rsidR="00904F6C">
        <w:rPr>
          <w:szCs w:val="20"/>
        </w:rPr>
        <w:t xml:space="preserve"> </w:t>
      </w:r>
      <w:r w:rsidR="00904F6C" w:rsidRPr="00CC030D">
        <w:rPr>
          <w:szCs w:val="20"/>
        </w:rPr>
        <w:t>all CBC programme areas in Europe.</w:t>
      </w:r>
      <w:r w:rsidR="00904F6C">
        <w:rPr>
          <w:szCs w:val="20"/>
        </w:rPr>
        <w:t xml:space="preserve"> It has to be noted that the national wind energy potential of Ireland is </w:t>
      </w:r>
      <w:r w:rsidR="00496FAE">
        <w:rPr>
          <w:szCs w:val="20"/>
        </w:rPr>
        <w:t xml:space="preserve">also </w:t>
      </w:r>
      <w:r w:rsidR="00904F6C">
        <w:rPr>
          <w:szCs w:val="20"/>
        </w:rPr>
        <w:t>extremely high in the international context</w:t>
      </w:r>
      <w:r w:rsidR="00496FAE">
        <w:rPr>
          <w:szCs w:val="20"/>
        </w:rPr>
        <w:t>,</w:t>
      </w:r>
      <w:r w:rsidR="00904F6C">
        <w:rPr>
          <w:szCs w:val="20"/>
        </w:rPr>
        <w:t xml:space="preserve"> while the UK has only a slightly higher potential in using this sustainable resource than</w:t>
      </w:r>
      <w:r w:rsidR="00496FAE">
        <w:rPr>
          <w:szCs w:val="20"/>
        </w:rPr>
        <w:t xml:space="preserve"> the</w:t>
      </w:r>
      <w:r w:rsidR="00904F6C">
        <w:rPr>
          <w:szCs w:val="20"/>
        </w:rPr>
        <w:t xml:space="preserve"> EU-27+4 or </w:t>
      </w:r>
      <w:r w:rsidR="00496FAE">
        <w:rPr>
          <w:szCs w:val="20"/>
        </w:rPr>
        <w:t>other</w:t>
      </w:r>
      <w:r w:rsidR="00904F6C">
        <w:rPr>
          <w:szCs w:val="20"/>
        </w:rPr>
        <w:t xml:space="preserve"> CBC areas. T</w:t>
      </w:r>
      <w:r w:rsidR="00904F6C" w:rsidRPr="009C7E22">
        <w:rPr>
          <w:szCs w:val="20"/>
        </w:rPr>
        <w:t>he level of ozone concentration</w:t>
      </w:r>
      <w:r w:rsidR="00904F6C">
        <w:rPr>
          <w:szCs w:val="20"/>
        </w:rPr>
        <w:t xml:space="preserve"> is lower than </w:t>
      </w:r>
      <w:r w:rsidR="00496FAE">
        <w:rPr>
          <w:szCs w:val="20"/>
        </w:rPr>
        <w:t xml:space="preserve">that of the </w:t>
      </w:r>
      <w:r w:rsidR="00904F6C" w:rsidRPr="009C7E22">
        <w:rPr>
          <w:szCs w:val="20"/>
        </w:rPr>
        <w:t>EU-27+4</w:t>
      </w:r>
      <w:r w:rsidR="00904F6C">
        <w:rPr>
          <w:szCs w:val="20"/>
        </w:rPr>
        <w:t xml:space="preserve">, </w:t>
      </w:r>
      <w:r w:rsidR="00496FAE">
        <w:rPr>
          <w:szCs w:val="20"/>
        </w:rPr>
        <w:t xml:space="preserve">and (to a lesser extent) </w:t>
      </w:r>
      <w:r w:rsidR="00904F6C">
        <w:rPr>
          <w:szCs w:val="20"/>
        </w:rPr>
        <w:t>than</w:t>
      </w:r>
      <w:r w:rsidR="00496FAE">
        <w:rPr>
          <w:szCs w:val="20"/>
        </w:rPr>
        <w:t xml:space="preserve"> the level of</w:t>
      </w:r>
      <w:r w:rsidR="00904F6C" w:rsidRPr="009C7E22">
        <w:rPr>
          <w:szCs w:val="20"/>
        </w:rPr>
        <w:t xml:space="preserve"> all CBC areas and </w:t>
      </w:r>
      <w:r w:rsidR="00496FAE">
        <w:rPr>
          <w:szCs w:val="20"/>
        </w:rPr>
        <w:t>the United Kingdom</w:t>
      </w:r>
      <w:r w:rsidR="00904F6C" w:rsidRPr="009C7E22">
        <w:rPr>
          <w:szCs w:val="20"/>
        </w:rPr>
        <w:t xml:space="preserve">; and </w:t>
      </w:r>
      <w:r w:rsidR="00904F6C">
        <w:rPr>
          <w:szCs w:val="20"/>
        </w:rPr>
        <w:t xml:space="preserve">it is </w:t>
      </w:r>
      <w:r w:rsidR="00496FAE">
        <w:rPr>
          <w:szCs w:val="20"/>
        </w:rPr>
        <w:t>at around</w:t>
      </w:r>
      <w:r w:rsidR="00904F6C">
        <w:rPr>
          <w:szCs w:val="20"/>
        </w:rPr>
        <w:t xml:space="preserve"> the same level </w:t>
      </w:r>
      <w:r w:rsidR="00496FAE">
        <w:rPr>
          <w:szCs w:val="20"/>
        </w:rPr>
        <w:t>as</w:t>
      </w:r>
      <w:r w:rsidR="00904F6C" w:rsidRPr="009C7E22">
        <w:rPr>
          <w:szCs w:val="20"/>
        </w:rPr>
        <w:t xml:space="preserve"> the national level of I</w:t>
      </w:r>
      <w:r w:rsidR="00904F6C">
        <w:rPr>
          <w:szCs w:val="20"/>
        </w:rPr>
        <w:t>reland</w:t>
      </w:r>
      <w:r w:rsidR="00904F6C" w:rsidRPr="009C7E22">
        <w:rPr>
          <w:szCs w:val="20"/>
        </w:rPr>
        <w:t>.</w:t>
      </w:r>
      <w:r w:rsidR="00904F6C" w:rsidRPr="00D9424F">
        <w:rPr>
          <w:szCs w:val="20"/>
        </w:rPr>
        <w:t xml:space="preserve"> </w:t>
      </w:r>
      <w:r w:rsidR="00904F6C">
        <w:rPr>
          <w:szCs w:val="20"/>
        </w:rPr>
        <w:t xml:space="preserve">The programme area is </w:t>
      </w:r>
      <w:r w:rsidR="00496FAE">
        <w:rPr>
          <w:szCs w:val="20"/>
        </w:rPr>
        <w:t xml:space="preserve">potentially </w:t>
      </w:r>
      <w:r w:rsidR="00904F6C">
        <w:rPr>
          <w:szCs w:val="20"/>
        </w:rPr>
        <w:t xml:space="preserve">more vulnerable to climate change than </w:t>
      </w:r>
      <w:r w:rsidR="00496FAE">
        <w:rPr>
          <w:szCs w:val="20"/>
        </w:rPr>
        <w:t xml:space="preserve">the </w:t>
      </w:r>
      <w:r w:rsidR="00904F6C">
        <w:rPr>
          <w:szCs w:val="20"/>
        </w:rPr>
        <w:t xml:space="preserve">EU-27+4 </w:t>
      </w:r>
      <w:r w:rsidR="00496FAE">
        <w:rPr>
          <w:szCs w:val="20"/>
        </w:rPr>
        <w:t>and</w:t>
      </w:r>
      <w:r w:rsidR="00904F6C">
        <w:rPr>
          <w:szCs w:val="20"/>
        </w:rPr>
        <w:t xml:space="preserve"> all CBC areas </w:t>
      </w:r>
      <w:r w:rsidR="00496FAE">
        <w:rPr>
          <w:szCs w:val="20"/>
        </w:rPr>
        <w:t>as well as the United Kingdom</w:t>
      </w:r>
      <w:r w:rsidR="00904F6C">
        <w:rPr>
          <w:szCs w:val="20"/>
        </w:rPr>
        <w:t xml:space="preserve">, but it is </w:t>
      </w:r>
      <w:r w:rsidR="008323DA">
        <w:rPr>
          <w:szCs w:val="20"/>
        </w:rPr>
        <w:t xml:space="preserve">potentially </w:t>
      </w:r>
      <w:r w:rsidR="00904F6C">
        <w:rPr>
          <w:szCs w:val="20"/>
        </w:rPr>
        <w:t xml:space="preserve">less vulnerable </w:t>
      </w:r>
      <w:r w:rsidR="008323DA">
        <w:rPr>
          <w:szCs w:val="20"/>
        </w:rPr>
        <w:t xml:space="preserve">when </w:t>
      </w:r>
      <w:r w:rsidR="00904F6C">
        <w:rPr>
          <w:szCs w:val="20"/>
        </w:rPr>
        <w:t>compared to Ireland.</w:t>
      </w:r>
    </w:p>
    <w:p w:rsidR="00904F6C" w:rsidRPr="00C33A99" w:rsidRDefault="00904F6C" w:rsidP="00A06AEA">
      <w:pPr>
        <w:rPr>
          <w:b/>
        </w:rPr>
      </w:pPr>
      <w:r w:rsidRPr="001F0B02">
        <w:rPr>
          <w:szCs w:val="20"/>
        </w:rPr>
        <w:t xml:space="preserve">Directive 11 seem to have no impact on fossil fuel consumption on the </w:t>
      </w:r>
      <w:r>
        <w:rPr>
          <w:szCs w:val="20"/>
        </w:rPr>
        <w:t>Irish</w:t>
      </w:r>
      <w:r w:rsidRPr="001F0B02">
        <w:rPr>
          <w:szCs w:val="20"/>
        </w:rPr>
        <w:t xml:space="preserve"> side of the border (MAP 2), and also has no impact in </w:t>
      </w:r>
      <w:r w:rsidR="00496FAE">
        <w:rPr>
          <w:szCs w:val="20"/>
        </w:rPr>
        <w:t>the N</w:t>
      </w:r>
      <w:r>
        <w:rPr>
          <w:szCs w:val="20"/>
        </w:rPr>
        <w:t>orthern</w:t>
      </w:r>
      <w:r w:rsidRPr="001F0B02">
        <w:rPr>
          <w:szCs w:val="20"/>
        </w:rPr>
        <w:t xml:space="preserve"> NUTS3 border-regions</w:t>
      </w:r>
      <w:r>
        <w:rPr>
          <w:szCs w:val="20"/>
        </w:rPr>
        <w:t xml:space="preserve"> of Scotland</w:t>
      </w:r>
      <w:r w:rsidRPr="001F0B02">
        <w:rPr>
          <w:szCs w:val="20"/>
        </w:rPr>
        <w:t xml:space="preserve">. </w:t>
      </w:r>
      <w:r>
        <w:rPr>
          <w:szCs w:val="20"/>
        </w:rPr>
        <w:t>However, it has a</w:t>
      </w:r>
      <w:r w:rsidRPr="001F0B02">
        <w:rPr>
          <w:szCs w:val="20"/>
        </w:rPr>
        <w:t xml:space="preserve"> positive impact in </w:t>
      </w:r>
      <w:r w:rsidR="00496FAE">
        <w:rPr>
          <w:szCs w:val="20"/>
        </w:rPr>
        <w:t>the S</w:t>
      </w:r>
      <w:r>
        <w:rPr>
          <w:szCs w:val="20"/>
        </w:rPr>
        <w:t>outhern NUTS3 regions of East Ayrshire and North Ayrshire mainland, South Ayrshire and Dumfries and Galloway</w:t>
      </w:r>
      <w:r w:rsidR="00496FAE">
        <w:rPr>
          <w:szCs w:val="20"/>
        </w:rPr>
        <w:t xml:space="preserve"> in Scotland.</w:t>
      </w:r>
      <w:r w:rsidR="008323DA">
        <w:rPr>
          <w:szCs w:val="20"/>
        </w:rPr>
        <w:t xml:space="preserve"> </w:t>
      </w:r>
      <w:r w:rsidR="006E6F84">
        <w:t>The combined adaptive capacity</w:t>
      </w:r>
      <w:r>
        <w:t xml:space="preserve"> </w:t>
      </w:r>
      <w:r w:rsidR="006E6F84">
        <w:t xml:space="preserve">to climate change of the NUTS3 border-regions </w:t>
      </w:r>
      <w:r>
        <w:t xml:space="preserve">(BOX-PLOT 1) </w:t>
      </w:r>
      <w:r w:rsidR="006E6F84">
        <w:t>is generally</w:t>
      </w:r>
      <w:r>
        <w:t xml:space="preserve"> </w:t>
      </w:r>
      <w:r w:rsidR="006E6F84">
        <w:t>close</w:t>
      </w:r>
      <w:r>
        <w:t xml:space="preserve"> to the median of EU-27+4 and of all CBC areas.</w:t>
      </w:r>
      <w:r w:rsidR="006E6F84">
        <w:t xml:space="preserve"> </w:t>
      </w:r>
      <w:r w:rsidR="008323DA">
        <w:t>T</w:t>
      </w:r>
      <w:r w:rsidR="006E6F84">
        <w:t>he region of Lochaber in Scotland seem</w:t>
      </w:r>
      <w:r w:rsidR="008323DA">
        <w:t>s</w:t>
      </w:r>
      <w:r w:rsidR="006E6F84">
        <w:t xml:space="preserve"> to have the lowest level of adap</w:t>
      </w:r>
      <w:r w:rsidR="008323DA">
        <w:t>tive capacity to climate change within the border-area.</w:t>
      </w:r>
      <w:r>
        <w:br w:type="page"/>
      </w: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w:t>
      </w:r>
      <w:r w:rsidR="00710F16">
        <w:rPr>
          <w:b/>
        </w:rPr>
        <w:t>Northern Ireland – Border Region of Ireland – Western Scotland</w:t>
      </w:r>
    </w:p>
    <w:p w:rsidR="00904F6C" w:rsidRDefault="00904F6C" w:rsidP="00D26713">
      <w:pPr>
        <w:spacing w:after="0" w:line="240" w:lineRule="auto"/>
        <w:rPr>
          <w:noProof/>
          <w:lang w:eastAsia="en-GB"/>
        </w:rPr>
      </w:pPr>
    </w:p>
    <w:p w:rsidR="00904F6C" w:rsidRDefault="00C7296F" w:rsidP="00D26713">
      <w:pPr>
        <w:spacing w:after="0" w:line="240" w:lineRule="auto"/>
        <w:rPr>
          <w:noProof/>
          <w:lang w:eastAsia="en-GB"/>
        </w:rPr>
      </w:pPr>
      <w:r w:rsidRPr="00C7296F">
        <w:rPr>
          <w:noProof/>
          <w:lang w:val="de-DE" w:eastAsia="de-DE"/>
        </w:rPr>
        <w:pict>
          <v:shape id="_x0000_s1045" style="position:absolute;left:0;text-align:left;margin-left:104pt;margin-top:119.25pt;width:44.4pt;height:49.5pt;z-index:251670016"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009A1E8F">
        <w:rPr>
          <w:noProof/>
          <w:lang w:val="en-US"/>
        </w:rPr>
        <w:drawing>
          <wp:inline distT="0" distB="0" distL="0" distR="0">
            <wp:extent cx="5278755" cy="5815626"/>
            <wp:effectExtent l="1905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904F6C" w:rsidRDefault="00904F6C" w:rsidP="00D26713"/>
    <w:p w:rsidR="00904F6C" w:rsidRDefault="00904F6C">
      <w:pPr>
        <w:spacing w:after="0" w:line="240" w:lineRule="auto"/>
        <w:jc w:val="left"/>
      </w:pPr>
      <w:r>
        <w:br w:type="page"/>
      </w:r>
    </w:p>
    <w:p w:rsidR="00904F6C" w:rsidRDefault="00904F6C" w:rsidP="00031FE5">
      <w:pPr>
        <w:rPr>
          <w:b/>
        </w:rPr>
      </w:pPr>
      <w:r w:rsidRPr="00813E3C">
        <w:rPr>
          <w:b/>
        </w:rPr>
        <w:lastRenderedPageBreak/>
        <w:t xml:space="preserve">BOX-PLOT 1 – Combined adaptive capacity to climate change (ESPON CLIMATE project) for the CBC </w:t>
      </w:r>
      <w:r w:rsidR="00710F16">
        <w:rPr>
          <w:b/>
        </w:rPr>
        <w:t>Northern Ireland – Border Region of Ireland – Western Scotland</w:t>
      </w:r>
    </w:p>
    <w:p w:rsidR="00F2218C" w:rsidRPr="00021CAB" w:rsidRDefault="00F2218C" w:rsidP="00F2218C">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904F6C" w:rsidRDefault="002A520E" w:rsidP="00031FE5">
      <w:pPr>
        <w:spacing w:after="0" w:line="240" w:lineRule="auto"/>
        <w:rPr>
          <w:noProof/>
          <w:lang w:eastAsia="en-GB"/>
        </w:rPr>
      </w:pPr>
      <w:r>
        <w:rPr>
          <w:noProof/>
          <w:lang w:val="en-US"/>
        </w:rPr>
        <w:drawing>
          <wp:inline distT="0" distB="0" distL="0" distR="0">
            <wp:extent cx="5283200" cy="422656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83200" cy="4226560"/>
                    </a:xfrm>
                    <a:prstGeom prst="rect">
                      <a:avLst/>
                    </a:prstGeom>
                    <a:noFill/>
                    <a:ln w="9525">
                      <a:noFill/>
                      <a:miter lim="800000"/>
                      <a:headEnd/>
                      <a:tailEnd/>
                    </a:ln>
                  </pic:spPr>
                </pic:pic>
              </a:graphicData>
            </a:graphic>
          </wp:inline>
        </w:drawing>
      </w:r>
    </w:p>
    <w:p w:rsidR="00904F6C" w:rsidRPr="006F0BC4" w:rsidRDefault="00904F6C" w:rsidP="00031FE5">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904F6C" w:rsidRPr="006F0BC4" w:rsidRDefault="00904F6C" w:rsidP="00031FE5">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904F6C" w:rsidRPr="006F0BC4" w:rsidRDefault="00904F6C" w:rsidP="00031FE5">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904F6C" w:rsidRPr="006F0BC4" w:rsidRDefault="00904F6C" w:rsidP="00031FE5">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904F6C" w:rsidRDefault="00904F6C">
      <w:pPr>
        <w:spacing w:after="0" w:line="240" w:lineRule="auto"/>
        <w:jc w:val="left"/>
        <w:rPr>
          <w:noProof/>
          <w:lang w:eastAsia="en-GB"/>
        </w:rPr>
      </w:pPr>
      <w:r>
        <w:rPr>
          <w:noProof/>
          <w:lang w:eastAsia="en-GB"/>
        </w:rPr>
        <w:br w:type="page"/>
      </w:r>
    </w:p>
    <w:p w:rsidR="00904F6C" w:rsidRDefault="00904F6C" w:rsidP="00B135A2">
      <w:pPr>
        <w:pStyle w:val="Heading3"/>
      </w:pPr>
      <w:r w:rsidRPr="006E6F84">
        <w:lastRenderedPageBreak/>
        <w:t>Inclusive growth</w:t>
      </w:r>
      <w:r>
        <w:t xml:space="preserve"> </w:t>
      </w:r>
    </w:p>
    <w:p w:rsidR="00904F6C" w:rsidRDefault="00904F6C"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8323DA" w:rsidRDefault="00C068DF" w:rsidP="008E2813">
      <w:r>
        <w:rPr>
          <w:noProof/>
          <w:lang w:val="en-US"/>
        </w:rPr>
        <w:drawing>
          <wp:anchor distT="0" distB="0" distL="114300" distR="114300" simplePos="0" relativeHeight="251679232" behindDoc="1" locked="0" layoutInCell="1" allowOverlap="1">
            <wp:simplePos x="0" y="0"/>
            <wp:positionH relativeFrom="column">
              <wp:posOffset>15240</wp:posOffset>
            </wp:positionH>
            <wp:positionV relativeFrom="paragraph">
              <wp:posOffset>24130</wp:posOffset>
            </wp:positionV>
            <wp:extent cx="5273675" cy="2530475"/>
            <wp:effectExtent l="19050" t="0" r="3175" b="0"/>
            <wp:wrapTight wrapText="bothSides">
              <wp:wrapPolygon edited="0">
                <wp:start x="-78" y="0"/>
                <wp:lineTo x="-78" y="21464"/>
                <wp:lineTo x="21613" y="21464"/>
                <wp:lineTo x="21613" y="0"/>
                <wp:lineTo x="-78" y="0"/>
              </wp:wrapPolygon>
            </wp:wrapTight>
            <wp:docPr id="6" name="Bild 3" descr="P:\LU_2011_ESPON_TerrEvi_100269\03_Project development\WorkinProgress_FactSheets\Factsheets_CBC_neu\TL_CBC2\CBC Programme Northern_Ireland_the_Border_Reg_of_Ire_and_W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2\CBC Programme Northern_Ireland_the_Border_Reg_of_Ire_and_WS 3.png"/>
                    <pic:cNvPicPr>
                      <a:picLocks noChangeAspect="1" noChangeArrowheads="1"/>
                    </pic:cNvPicPr>
                  </pic:nvPicPr>
                  <pic:blipFill>
                    <a:blip r:embed="rId17"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p>
    <w:p w:rsidR="00904F6C" w:rsidRDefault="006E6F84" w:rsidP="008E2813">
      <w:r>
        <w:t>The long-</w:t>
      </w:r>
      <w:r w:rsidR="00904F6C">
        <w:t xml:space="preserve">term unemployment rate </w:t>
      </w:r>
      <w:r>
        <w:t xml:space="preserve">of the </w:t>
      </w:r>
      <w:r w:rsidR="00B53A13" w:rsidRPr="00B53A13">
        <w:t>Northern Ireland – Border Region of Ireland – Western Scotland</w:t>
      </w:r>
      <w:r w:rsidR="00B53A13">
        <w:t xml:space="preserve"> </w:t>
      </w:r>
      <w:r w:rsidR="008323DA">
        <w:t>border-region</w:t>
      </w:r>
      <w:r w:rsidR="00B53A13">
        <w:t>s</w:t>
      </w:r>
      <w:r w:rsidR="003532AF">
        <w:t>,</w:t>
      </w:r>
      <w:r>
        <w:t xml:space="preserve"> </w:t>
      </w:r>
      <w:r w:rsidR="008323DA">
        <w:t>as well as</w:t>
      </w:r>
      <w:r w:rsidR="00904F6C">
        <w:t xml:space="preserve"> the employment rates represented in BOX-PLOT 2</w:t>
      </w:r>
      <w:r w:rsidR="003532AF">
        <w:t>,</w:t>
      </w:r>
      <w:r w:rsidR="00904F6C">
        <w:t xml:space="preserve"> </w:t>
      </w:r>
      <w:r w:rsidR="00B53A13">
        <w:t>are</w:t>
      </w:r>
      <w:r w:rsidR="00904F6C">
        <w:t xml:space="preserve"> close to the median of </w:t>
      </w:r>
      <w:r>
        <w:t xml:space="preserve">the </w:t>
      </w:r>
      <w:r w:rsidR="00904F6C">
        <w:t>EU-27+4 and of all C</w:t>
      </w:r>
      <w:r>
        <w:t>BC areas. In general, the unemployment rate</w:t>
      </w:r>
      <w:r w:rsidR="00904F6C">
        <w:t xml:space="preserve"> of the programme area </w:t>
      </w:r>
      <w:r>
        <w:t>is</w:t>
      </w:r>
      <w:r w:rsidR="00904F6C">
        <w:t xml:space="preserve"> significantly low</w:t>
      </w:r>
      <w:r>
        <w:t>er</w:t>
      </w:r>
      <w:r w:rsidR="00904F6C">
        <w:t xml:space="preserve"> </w:t>
      </w:r>
      <w:r>
        <w:t>than that of</w:t>
      </w:r>
      <w:r w:rsidR="00904F6C">
        <w:t xml:space="preserve"> Ireland</w:t>
      </w:r>
      <w:r>
        <w:t>,</w:t>
      </w:r>
      <w:r w:rsidR="00904F6C">
        <w:t xml:space="preserve"> </w:t>
      </w:r>
      <w:r>
        <w:t>but the border-region count for relatively more long-term unemployed people than the United Kingdom</w:t>
      </w:r>
      <w:r w:rsidR="00904F6C">
        <w:t xml:space="preserve">. </w:t>
      </w:r>
      <w:r w:rsidR="003532AF">
        <w:t xml:space="preserve">According to </w:t>
      </w:r>
      <w:r w:rsidR="00904F6C">
        <w:t>BOX-PLOT 2</w:t>
      </w:r>
      <w:r>
        <w:t xml:space="preserve"> two Irish NUTS3 regions (</w:t>
      </w:r>
      <w:r w:rsidR="00904F6C">
        <w:t xml:space="preserve">Border and </w:t>
      </w:r>
      <w:r w:rsidR="003532AF">
        <w:t xml:space="preserve">North of </w:t>
      </w:r>
      <w:r w:rsidR="00904F6C">
        <w:t xml:space="preserve">Northern Ireland) have </w:t>
      </w:r>
      <w:r w:rsidR="003532AF">
        <w:t>particularly</w:t>
      </w:r>
      <w:r w:rsidR="00904F6C">
        <w:t xml:space="preserve"> low employment rates, while the NUTS3 region Dumfries &amp; Galloway in Scotland has a high rate in</w:t>
      </w:r>
      <w:r>
        <w:t xml:space="preserve"> the</w:t>
      </w:r>
      <w:r w:rsidR="00904F6C">
        <w:t xml:space="preserve"> international context. The </w:t>
      </w:r>
      <w:r>
        <w:t>rate</w:t>
      </w:r>
      <w:r w:rsidR="00904F6C">
        <w:t xml:space="preserve"> of persons at risk of poverty is high</w:t>
      </w:r>
      <w:r w:rsidR="003532AF">
        <w:t>er</w:t>
      </w:r>
      <w:r w:rsidR="00904F6C">
        <w:t xml:space="preserve"> </w:t>
      </w:r>
      <w:r>
        <w:t xml:space="preserve">in the programme area </w:t>
      </w:r>
      <w:r w:rsidR="003532AF">
        <w:t>than in</w:t>
      </w:r>
      <w:r w:rsidR="00904F6C">
        <w:t xml:space="preserve"> </w:t>
      </w:r>
      <w:r>
        <w:t xml:space="preserve">the </w:t>
      </w:r>
      <w:r w:rsidR="00904F6C">
        <w:t xml:space="preserve">EU-27+4, </w:t>
      </w:r>
      <w:r>
        <w:t xml:space="preserve">all </w:t>
      </w:r>
      <w:r w:rsidR="00904F6C">
        <w:t>CBC area</w:t>
      </w:r>
      <w:r>
        <w:t>s</w:t>
      </w:r>
      <w:r w:rsidR="00904F6C">
        <w:t xml:space="preserve"> </w:t>
      </w:r>
      <w:r>
        <w:t>as well as</w:t>
      </w:r>
      <w:r w:rsidR="00904F6C">
        <w:t xml:space="preserve"> Ireland</w:t>
      </w:r>
      <w:r>
        <w:t>,</w:t>
      </w:r>
      <w:r w:rsidR="00904F6C">
        <w:t xml:space="preserve"> but it is slightly lower </w:t>
      </w:r>
      <w:r>
        <w:t>than in the United Kingdom</w:t>
      </w:r>
      <w:r w:rsidR="00904F6C">
        <w:t xml:space="preserve">. The </w:t>
      </w:r>
      <w:r w:rsidR="003532AF">
        <w:t>share</w:t>
      </w:r>
      <w:r w:rsidR="00904F6C">
        <w:t xml:space="preserve"> of persons aged 25-64 and 20-24 with upper secondary or tertiary education attainment is at an average </w:t>
      </w:r>
      <w:r w:rsidR="003532AF">
        <w:t xml:space="preserve">level </w:t>
      </w:r>
      <w:r w:rsidR="00433E7F">
        <w:t>compared to the EU27+4 and Ireland; it is slightly lower than in the UK and all CBC areas</w:t>
      </w:r>
      <w:r w:rsidR="00904F6C">
        <w:t>.</w:t>
      </w:r>
    </w:p>
    <w:p w:rsidR="00904F6C" w:rsidRPr="00E13BE2" w:rsidRDefault="00904F6C" w:rsidP="001633C3">
      <w:pPr>
        <w:rPr>
          <w:szCs w:val="20"/>
        </w:rPr>
      </w:pPr>
      <w:r w:rsidRPr="002C7F41">
        <w:rPr>
          <w:szCs w:val="20"/>
        </w:rPr>
        <w:t>To further explore the role of policies the ESPON project DEMIFER has developed four scenarios to show how various policy bundles can lead to different trajectories of developments in population and labour force. On the</w:t>
      </w:r>
      <w:r w:rsidR="003532AF">
        <w:rPr>
          <w:szCs w:val="20"/>
        </w:rPr>
        <w:t xml:space="preserve"> one hand,</w:t>
      </w:r>
      <w:r w:rsidRPr="002C7F41">
        <w:rPr>
          <w:szCs w:val="20"/>
        </w:rPr>
        <w:t xml:space="preserve"> all scenarios pr</w:t>
      </w:r>
      <w:r>
        <w:rPr>
          <w:szCs w:val="20"/>
        </w:rPr>
        <w:t xml:space="preserve">edict </w:t>
      </w:r>
      <w:r w:rsidR="00A1458D">
        <w:rPr>
          <w:szCs w:val="20"/>
        </w:rPr>
        <w:t>an increase in the labour force until 2050</w:t>
      </w:r>
      <w:r w:rsidRPr="002C7F41">
        <w:rPr>
          <w:szCs w:val="20"/>
        </w:rPr>
        <w:t xml:space="preserve"> (although to a different extent)</w:t>
      </w:r>
      <w:r w:rsidR="003532AF">
        <w:rPr>
          <w:szCs w:val="20"/>
        </w:rPr>
        <w:t xml:space="preserve"> on the </w:t>
      </w:r>
      <w:r w:rsidR="003532AF" w:rsidRPr="002C7F41">
        <w:rPr>
          <w:szCs w:val="20"/>
        </w:rPr>
        <w:t>I</w:t>
      </w:r>
      <w:r w:rsidR="003532AF">
        <w:rPr>
          <w:szCs w:val="20"/>
        </w:rPr>
        <w:t>rish</w:t>
      </w:r>
      <w:r w:rsidR="003532AF" w:rsidRPr="002C7F41">
        <w:rPr>
          <w:szCs w:val="20"/>
        </w:rPr>
        <w:t xml:space="preserve"> side of the border</w:t>
      </w:r>
      <w:r w:rsidRPr="002C7F41">
        <w:rPr>
          <w:szCs w:val="20"/>
        </w:rPr>
        <w:t>.</w:t>
      </w:r>
      <w:r>
        <w:rPr>
          <w:szCs w:val="20"/>
        </w:rPr>
        <w:t xml:space="preserve"> </w:t>
      </w:r>
      <w:r w:rsidR="00A1458D">
        <w:rPr>
          <w:szCs w:val="20"/>
        </w:rPr>
        <w:t>On the other hand, the</w:t>
      </w:r>
      <w:r>
        <w:rPr>
          <w:szCs w:val="20"/>
        </w:rPr>
        <w:t xml:space="preserve"> changes foreseen for </w:t>
      </w:r>
      <w:r w:rsidR="00A1458D">
        <w:rPr>
          <w:szCs w:val="20"/>
        </w:rPr>
        <w:t>the Scottish</w:t>
      </w:r>
      <w:r>
        <w:rPr>
          <w:szCs w:val="20"/>
        </w:rPr>
        <w:t xml:space="preserve"> border are mostly negative </w:t>
      </w:r>
      <w:r w:rsidR="00A1458D">
        <w:rPr>
          <w:szCs w:val="20"/>
        </w:rPr>
        <w:t xml:space="preserve">according to all scenarios, </w:t>
      </w:r>
      <w:r>
        <w:rPr>
          <w:szCs w:val="20"/>
        </w:rPr>
        <w:t xml:space="preserve">except for </w:t>
      </w:r>
      <w:r w:rsidR="00A1458D">
        <w:rPr>
          <w:szCs w:val="20"/>
        </w:rPr>
        <w:t xml:space="preserve">the ‘Growing Social Europe’ scenario that predict minor positive changes in the labour force in </w:t>
      </w:r>
      <w:r>
        <w:rPr>
          <w:szCs w:val="20"/>
        </w:rPr>
        <w:t>the regions of East Ayrshire and North Ayrshire mainland, South Ayr</w:t>
      </w:r>
      <w:r w:rsidR="00A1458D">
        <w:rPr>
          <w:szCs w:val="20"/>
        </w:rPr>
        <w:t>shire and Dumfries and Galloway.</w:t>
      </w:r>
    </w:p>
    <w:p w:rsidR="00904F6C" w:rsidRPr="002C7F41" w:rsidRDefault="00904F6C" w:rsidP="001633C3">
      <w:pPr>
        <w:rPr>
          <w:szCs w:val="20"/>
        </w:rPr>
      </w:pPr>
      <w:r>
        <w:rPr>
          <w:szCs w:val="20"/>
        </w:rPr>
        <w:t xml:space="preserve"> </w:t>
      </w:r>
    </w:p>
    <w:p w:rsidR="00904F6C" w:rsidRDefault="00904F6C">
      <w:pPr>
        <w:spacing w:after="0" w:line="240" w:lineRule="auto"/>
        <w:jc w:val="left"/>
        <w:rPr>
          <w:noProof/>
          <w:lang w:eastAsia="en-GB"/>
        </w:rPr>
      </w:pPr>
      <w:r>
        <w:rPr>
          <w:noProof/>
          <w:lang w:eastAsia="en-GB"/>
        </w:rPr>
        <w:br w:type="page"/>
      </w:r>
    </w:p>
    <w:p w:rsidR="00904F6C" w:rsidRPr="00C33A99" w:rsidRDefault="00904F6C" w:rsidP="005A5FC4">
      <w:pPr>
        <w:rPr>
          <w:b/>
        </w:rPr>
      </w:pPr>
      <w:r>
        <w:rPr>
          <w:b/>
        </w:rPr>
        <w:lastRenderedPageBreak/>
        <w:t xml:space="preserve">MAP 3 – </w:t>
      </w:r>
      <w:r w:rsidRPr="00C33A99">
        <w:rPr>
          <w:b/>
        </w:rPr>
        <w:t>Change in Labour Force 2005-2050 (ESPON DEMIFER project)</w:t>
      </w:r>
      <w:r>
        <w:rPr>
          <w:b/>
        </w:rPr>
        <w:t xml:space="preserve"> for the CBC </w:t>
      </w:r>
      <w:r w:rsidR="00710F16">
        <w:rPr>
          <w:b/>
        </w:rPr>
        <w:t>Northern Ireland – Border Region of Ireland – Western Scotland</w:t>
      </w:r>
    </w:p>
    <w:p w:rsidR="00904F6C" w:rsidRDefault="00904F6C" w:rsidP="0089569C">
      <w:pPr>
        <w:spacing w:after="0" w:line="240" w:lineRule="auto"/>
        <w:rPr>
          <w:noProof/>
          <w:lang w:eastAsia="en-GB"/>
        </w:rPr>
      </w:pPr>
    </w:p>
    <w:p w:rsidR="00904F6C" w:rsidRDefault="00C7296F" w:rsidP="0089569C">
      <w:pPr>
        <w:spacing w:after="0" w:line="240" w:lineRule="auto"/>
        <w:rPr>
          <w:noProof/>
          <w:lang w:eastAsia="en-GB"/>
        </w:rPr>
      </w:pPr>
      <w:r w:rsidRPr="00C7296F">
        <w:rPr>
          <w:noProof/>
          <w:lang w:val="de-DE" w:eastAsia="de-DE"/>
        </w:rPr>
        <w:pict>
          <v:shape id="_x0000_s1049" style="position:absolute;left:0;text-align:left;margin-left:245pt;margin-top:277.5pt;width:21.95pt;height:28.5pt;z-index:251674112"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Pr="00C7296F">
        <w:rPr>
          <w:noProof/>
          <w:lang w:val="de-DE" w:eastAsia="de-DE"/>
        </w:rPr>
        <w:pict>
          <v:shape id="_x0000_s1048" style="position:absolute;left:0;text-align:left;margin-left:46.35pt;margin-top:277.5pt;width:21.95pt;height:28.5pt;z-index:251673088"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Pr="00C7296F">
        <w:rPr>
          <w:noProof/>
          <w:lang w:val="de-DE" w:eastAsia="de-DE"/>
        </w:rPr>
        <w:pict>
          <v:shape id="_x0000_s1047" style="position:absolute;left:0;text-align:left;margin-left:245.85pt;margin-top:72.15pt;width:21.95pt;height:28.5pt;z-index:251672064"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Pr="00C7296F">
        <w:rPr>
          <w:noProof/>
          <w:lang w:val="de-DE" w:eastAsia="de-DE"/>
        </w:rPr>
        <w:pict>
          <v:shape id="_x0000_s1046" style="position:absolute;left:0;text-align:left;margin-left:46.35pt;margin-top:71.3pt;width:21.95pt;height:28.5pt;z-index:251671040"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00BC59E6">
        <w:rPr>
          <w:noProof/>
          <w:lang w:val="en-US"/>
        </w:rPr>
        <w:drawing>
          <wp:inline distT="0" distB="0" distL="0" distR="0">
            <wp:extent cx="5278755" cy="6911340"/>
            <wp:effectExtent l="19050" t="0" r="0" b="0"/>
            <wp:docPr id="14" name="Grafik 13"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8" cstate="print"/>
                    <a:stretch>
                      <a:fillRect/>
                    </a:stretch>
                  </pic:blipFill>
                  <pic:spPr>
                    <a:xfrm>
                      <a:off x="0" y="0"/>
                      <a:ext cx="5278755" cy="6911340"/>
                    </a:xfrm>
                    <a:prstGeom prst="rect">
                      <a:avLst/>
                    </a:prstGeom>
                  </pic:spPr>
                </pic:pic>
              </a:graphicData>
            </a:graphic>
          </wp:inline>
        </w:drawing>
      </w:r>
    </w:p>
    <w:p w:rsidR="00904F6C" w:rsidRDefault="00904F6C" w:rsidP="0089569C">
      <w:pPr>
        <w:spacing w:after="0" w:line="240" w:lineRule="auto"/>
        <w:rPr>
          <w:noProof/>
          <w:lang w:eastAsia="en-GB"/>
        </w:rPr>
      </w:pPr>
    </w:p>
    <w:p w:rsidR="00904F6C" w:rsidRDefault="00904F6C">
      <w:pPr>
        <w:spacing w:after="0" w:line="240" w:lineRule="auto"/>
        <w:jc w:val="left"/>
        <w:rPr>
          <w:noProof/>
          <w:lang w:eastAsia="en-GB"/>
        </w:rPr>
      </w:pPr>
      <w:r>
        <w:rPr>
          <w:noProof/>
          <w:lang w:eastAsia="en-GB"/>
        </w:rPr>
        <w:br w:type="page"/>
      </w:r>
    </w:p>
    <w:p w:rsidR="00904F6C" w:rsidRDefault="002A520E" w:rsidP="00031FE5">
      <w:pPr>
        <w:rPr>
          <w:i/>
          <w:noProof/>
          <w:lang w:eastAsia="en-GB"/>
        </w:rPr>
      </w:pPr>
      <w:r>
        <w:rPr>
          <w:noProof/>
          <w:lang w:val="en-US"/>
        </w:rPr>
        <w:lastRenderedPageBreak/>
        <w:drawing>
          <wp:anchor distT="0" distB="0" distL="114300" distR="114300" simplePos="0" relativeHeight="251664896" behindDoc="1" locked="0" layoutInCell="1" allowOverlap="1">
            <wp:simplePos x="0" y="0"/>
            <wp:positionH relativeFrom="column">
              <wp:posOffset>-17145</wp:posOffset>
            </wp:positionH>
            <wp:positionV relativeFrom="paragraph">
              <wp:posOffset>316865</wp:posOffset>
            </wp:positionV>
            <wp:extent cx="5276850" cy="4229100"/>
            <wp:effectExtent l="25400" t="0" r="6350" b="0"/>
            <wp:wrapTight wrapText="bothSides">
              <wp:wrapPolygon edited="0">
                <wp:start x="-104" y="0"/>
                <wp:lineTo x="-104" y="21535"/>
                <wp:lineTo x="21626" y="21535"/>
                <wp:lineTo x="21626" y="0"/>
                <wp:lineTo x="-104" y="0"/>
              </wp:wrapPolygon>
            </wp:wrapTight>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9" cstate="print"/>
                    <a:srcRect/>
                    <a:stretch>
                      <a:fillRect/>
                    </a:stretch>
                  </pic:blipFill>
                  <pic:spPr bwMode="auto">
                    <a:xfrm>
                      <a:off x="0" y="0"/>
                      <a:ext cx="5276850" cy="4229100"/>
                    </a:xfrm>
                    <a:prstGeom prst="rect">
                      <a:avLst/>
                    </a:prstGeom>
                    <a:noFill/>
                  </pic:spPr>
                </pic:pic>
              </a:graphicData>
            </a:graphic>
          </wp:anchor>
        </w:drawing>
      </w:r>
      <w:r w:rsidR="00904F6C" w:rsidRPr="00813E3C">
        <w:rPr>
          <w:b/>
        </w:rPr>
        <w:t xml:space="preserve">BOX-PLOT 2 – Employment rate 2010 within the CBC </w:t>
      </w:r>
      <w:r w:rsidR="00710F16">
        <w:rPr>
          <w:b/>
        </w:rPr>
        <w:t>Northern Ireland – Border Region of Ireland – Western Scotland</w:t>
      </w:r>
    </w:p>
    <w:p w:rsidR="00904F6C" w:rsidRDefault="00904F6C" w:rsidP="00031FE5">
      <w:pPr>
        <w:rPr>
          <w:i/>
          <w:noProof/>
          <w:lang w:eastAsia="en-GB"/>
        </w:rPr>
      </w:pPr>
    </w:p>
    <w:p w:rsidR="00904F6C" w:rsidRPr="00383954" w:rsidRDefault="00904F6C" w:rsidP="00031FE5">
      <w:pPr>
        <w:rPr>
          <w:i/>
          <w:noProof/>
          <w:lang w:eastAsia="en-GB"/>
        </w:rPr>
      </w:pPr>
      <w:r w:rsidRPr="00383954">
        <w:rPr>
          <w:i/>
          <w:noProof/>
          <w:lang w:eastAsia="en-GB"/>
        </w:rPr>
        <w:t>(see “How t</w:t>
      </w:r>
      <w:r w:rsidR="00B53A13">
        <w:rPr>
          <w:i/>
          <w:noProof/>
          <w:lang w:eastAsia="en-GB"/>
        </w:rPr>
        <w:t>o read the box-plots?” on page 8</w:t>
      </w:r>
      <w:r w:rsidRPr="00383954">
        <w:rPr>
          <w:i/>
          <w:noProof/>
          <w:lang w:eastAsia="en-GB"/>
        </w:rPr>
        <w:t>)</w:t>
      </w:r>
    </w:p>
    <w:p w:rsidR="00904F6C" w:rsidRDefault="00904F6C" w:rsidP="00031FE5">
      <w:pPr>
        <w:spacing w:after="0" w:line="240" w:lineRule="auto"/>
        <w:jc w:val="left"/>
        <w:rPr>
          <w:noProof/>
          <w:lang w:eastAsia="en-GB"/>
        </w:rPr>
      </w:pPr>
    </w:p>
    <w:p w:rsidR="00904F6C" w:rsidRDefault="00904F6C" w:rsidP="00FD4E3A">
      <w:pPr>
        <w:spacing w:after="0" w:line="240" w:lineRule="auto"/>
        <w:jc w:val="left"/>
        <w:rPr>
          <w:noProof/>
          <w:lang w:eastAsia="en-GB"/>
        </w:rPr>
      </w:pPr>
    </w:p>
    <w:p w:rsidR="00904F6C" w:rsidRDefault="00904F6C">
      <w:pPr>
        <w:spacing w:after="0" w:line="240" w:lineRule="auto"/>
        <w:jc w:val="left"/>
        <w:rPr>
          <w:noProof/>
          <w:lang w:eastAsia="en-GB"/>
        </w:rPr>
      </w:pPr>
      <w:r>
        <w:rPr>
          <w:noProof/>
          <w:lang w:eastAsia="en-GB"/>
        </w:rPr>
        <w:br w:type="page"/>
      </w:r>
    </w:p>
    <w:p w:rsidR="00904F6C" w:rsidRPr="00687F33" w:rsidRDefault="00904F6C" w:rsidP="005761A6">
      <w:pPr>
        <w:pStyle w:val="Heading1"/>
      </w:pPr>
      <w:r w:rsidRPr="00687F33">
        <w:lastRenderedPageBreak/>
        <w:t xml:space="preserve">Territorial factors of interest for the programme area </w:t>
      </w:r>
    </w:p>
    <w:p w:rsidR="00687F33" w:rsidRDefault="00687F33" w:rsidP="00687F33">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687F33" w:rsidRDefault="00687F33" w:rsidP="00687F33">
      <w:r>
        <w:t xml:space="preserve">In a European perspective the programme area is mainly characterised by rural regions and intermediate regions. Most of the rural regions are furthermore considered as remote. The area comprises mainly smaller centres and no larger urban centres. Some parts of the programme area benefit from a close proximity to Belfast. </w:t>
      </w:r>
    </w:p>
    <w:p w:rsidR="00687F33" w:rsidRDefault="00687F33" w:rsidP="00687F33">
      <w:r>
        <w:t xml:space="preserve">The rural structure implies both development challenges and potentials i.e. in relation to the access to services and infrastructure. Overall, the area has a multimodal accessibility below the European average. </w:t>
      </w:r>
    </w:p>
    <w:p w:rsidR="00687F33" w:rsidRDefault="00687F33" w:rsidP="00687F33">
      <w:r>
        <w:t xml:space="preserve">In a European perspective, the use of internet and access to the Information Society in the programme area is moderate on Ireland and high in Scotland. </w:t>
      </w:r>
    </w:p>
    <w:p w:rsidR="00687F33" w:rsidRDefault="00687F33" w:rsidP="00687F33">
      <w:r>
        <w:t xml:space="preserve">Most parts of the programme area are characterised as </w:t>
      </w:r>
      <w:r w:rsidR="004517E0">
        <w:t>coastal</w:t>
      </w:r>
      <w:r>
        <w:t xml:space="preserve"> regions in a European perspective. Other geographical specificities within the programme area are islands, mountainous areas and some sparsely populated areas. These characteristics and the remote location imply particular development challenges and opportunities. </w:t>
      </w:r>
      <w:r w:rsidRPr="0032010C">
        <w:t>ESPON GEOSPECS has developed nexus model</w:t>
      </w:r>
      <w:r>
        <w:t>s</w:t>
      </w:r>
      <w:r w:rsidRPr="0032010C">
        <w:t xml:space="preserve"> for </w:t>
      </w:r>
      <w:r>
        <w:t xml:space="preserve">coastal </w:t>
      </w:r>
      <w:r w:rsidRPr="0032010C">
        <w:t xml:space="preserve">regions </w:t>
      </w:r>
      <w:r>
        <w:t xml:space="preserve">(see figure), mountainous regions and sparsely populated areas. These models link </w:t>
      </w:r>
      <w:r w:rsidRPr="0032010C">
        <w:t xml:space="preserve">defining features via intermediary process to development challenges and opportunities. This model can be of interest </w:t>
      </w:r>
      <w:r>
        <w:t xml:space="preserve">also </w:t>
      </w:r>
      <w:r w:rsidRPr="0032010C">
        <w:t>for further developing the discussion about the challenges and opportunities in the programme area.</w:t>
      </w:r>
    </w:p>
    <w:p w:rsidR="00687F33" w:rsidRDefault="00687F33" w:rsidP="00687F33">
      <w:r>
        <w:t xml:space="preserve">Furthermore, GEOSPECS has carried out a case study on the Irish Sea highlighting some development opportunities and limitations in relation to the historic legacy of the area, which can be of interest.  </w:t>
      </w:r>
    </w:p>
    <w:p w:rsidR="00687F33" w:rsidRDefault="00687F33" w:rsidP="00687F33">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687F33" w:rsidRDefault="00687F33" w:rsidP="00687F33">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904F6C" w:rsidRDefault="00904F6C">
      <w:pPr>
        <w:spacing w:after="0" w:line="240" w:lineRule="auto"/>
        <w:jc w:val="left"/>
      </w:pPr>
      <w:r>
        <w:br w:type="page"/>
      </w:r>
    </w:p>
    <w:p w:rsidR="00904F6C" w:rsidRPr="00C33A99" w:rsidRDefault="00904F6C" w:rsidP="005A5FC4">
      <w:pPr>
        <w:rPr>
          <w:b/>
        </w:rPr>
      </w:pPr>
      <w:r w:rsidRPr="0019394E">
        <w:rPr>
          <w:b/>
          <w:noProof/>
          <w:lang w:eastAsia="en-GB"/>
        </w:rPr>
        <w:lastRenderedPageBreak/>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710F16">
        <w:rPr>
          <w:b/>
        </w:rPr>
        <w:t>Northern Ireland – Border Region of Ireland – Western Scotland</w:t>
      </w:r>
    </w:p>
    <w:p w:rsidR="00904F6C" w:rsidRDefault="00904F6C" w:rsidP="0089569C">
      <w:pPr>
        <w:spacing w:after="0" w:line="240" w:lineRule="auto"/>
        <w:jc w:val="left"/>
        <w:rPr>
          <w:noProof/>
          <w:lang w:eastAsia="en-GB"/>
        </w:rPr>
      </w:pPr>
    </w:p>
    <w:p w:rsidR="00904F6C" w:rsidRDefault="00C7296F" w:rsidP="0089569C">
      <w:pPr>
        <w:spacing w:after="0" w:line="240" w:lineRule="auto"/>
        <w:jc w:val="left"/>
        <w:rPr>
          <w:noProof/>
          <w:lang w:eastAsia="en-GB"/>
        </w:rPr>
      </w:pPr>
      <w:r w:rsidRPr="00C7296F">
        <w:rPr>
          <w:noProof/>
          <w:lang w:val="de-DE" w:eastAsia="de-DE"/>
        </w:rPr>
        <w:pict>
          <v:shape id="_x0000_s1050" style="position:absolute;margin-left:66.9pt;margin-top:144.05pt;width:39.25pt;height:50.95pt;z-index:251675136"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00970B49">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A51BC2" w:rsidRPr="0085195F" w:rsidRDefault="00A51BC2" w:rsidP="00A51BC2">
      <w:pPr>
        <w:jc w:val="right"/>
        <w:rPr>
          <w:i/>
        </w:rPr>
      </w:pPr>
      <w:r w:rsidRPr="0085195F">
        <w:rPr>
          <w:i/>
        </w:rPr>
        <w:t>(Accessible=close to a city)</w:t>
      </w:r>
    </w:p>
    <w:p w:rsidR="00904F6C" w:rsidRDefault="00904F6C" w:rsidP="0089569C">
      <w:pPr>
        <w:spacing w:after="0" w:line="240" w:lineRule="auto"/>
        <w:jc w:val="left"/>
        <w:rPr>
          <w:noProof/>
          <w:lang w:eastAsia="en-GB"/>
        </w:rPr>
      </w:pPr>
    </w:p>
    <w:p w:rsidR="00904F6C" w:rsidRDefault="00904F6C" w:rsidP="0019394E">
      <w:pPr>
        <w:spacing w:after="0" w:line="240" w:lineRule="auto"/>
        <w:jc w:val="left"/>
        <w:rPr>
          <w:noProof/>
          <w:lang w:eastAsia="en-GB"/>
        </w:rPr>
      </w:pPr>
      <w:r>
        <w:rPr>
          <w:noProof/>
          <w:lang w:eastAsia="en-GB"/>
        </w:rPr>
        <w:br w:type="page"/>
      </w:r>
    </w:p>
    <w:p w:rsidR="00904F6C" w:rsidRDefault="00904F6C"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sidR="00710F16">
        <w:rPr>
          <w:b/>
        </w:rPr>
        <w:t>Northern Ireland – Border Region of Ireland – Western Scotland</w:t>
      </w:r>
    </w:p>
    <w:p w:rsidR="000F023B" w:rsidRPr="00021CAB" w:rsidRDefault="000F023B" w:rsidP="000F023B">
      <w:pPr>
        <w:spacing w:after="240"/>
        <w:rPr>
          <w:i/>
        </w:rPr>
      </w:pPr>
      <w:r w:rsidRPr="00021CAB">
        <w:rPr>
          <w:i/>
        </w:rPr>
        <w:t>“Potential Accessibility Multimodal” scores accessibility of NUTS 3 regions by road, rail and air relative to the European average in an Accessibility Index.</w:t>
      </w:r>
    </w:p>
    <w:p w:rsidR="00904F6C" w:rsidRDefault="00C7296F" w:rsidP="0089569C">
      <w:pPr>
        <w:spacing w:after="0" w:line="240" w:lineRule="auto"/>
        <w:jc w:val="left"/>
        <w:rPr>
          <w:noProof/>
          <w:lang w:eastAsia="en-GB"/>
        </w:rPr>
      </w:pPr>
      <w:r w:rsidRPr="00C7296F">
        <w:rPr>
          <w:i/>
          <w:noProof/>
          <w:lang w:val="de-DE" w:eastAsia="de-DE"/>
        </w:rPr>
        <w:pict>
          <v:shape id="_x0000_s1051" style="position:absolute;margin-left:63.9pt;margin-top:137.8pt;width:46.6pt;height:59.95pt;z-index:251676160" coordsize="1982,2211" path="m35,1387c63,1243,150,1141,269,1087v119,-54,392,47,482,-25c841,990,781,785,810,655,839,525,872,385,926,280,980,175,1058,44,1134,22v76,-22,174,42,250,125c1460,230,1564,381,1592,521v28,140,-97,325,-42,466c1605,1128,1868,1253,1925,1370v57,117,27,255,-33,317c1832,1749,1692,1709,1567,1745v-125,36,-267,82,-424,158c986,1979,799,2195,626,2203,453,2211,204,2095,102,1953,,1811,7,1531,35,1387xe" filled="f" strokecolor="#0070c0" strokeweight="2pt">
            <v:path arrowok="t"/>
          </v:shape>
        </w:pict>
      </w:r>
      <w:r w:rsidR="00BC59E6">
        <w:rPr>
          <w:noProof/>
          <w:lang w:val="en-US"/>
        </w:rPr>
        <w:drawing>
          <wp:inline distT="0" distB="0" distL="0" distR="0">
            <wp:extent cx="5278755" cy="7444105"/>
            <wp:effectExtent l="19050" t="0" r="0" b="0"/>
            <wp:docPr id="17" name="Grafik 16"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2" cstate="print"/>
                    <a:stretch>
                      <a:fillRect/>
                    </a:stretch>
                  </pic:blipFill>
                  <pic:spPr>
                    <a:xfrm>
                      <a:off x="0" y="0"/>
                      <a:ext cx="5278755" cy="7444105"/>
                    </a:xfrm>
                    <a:prstGeom prst="rect">
                      <a:avLst/>
                    </a:prstGeom>
                  </pic:spPr>
                </pic:pic>
              </a:graphicData>
            </a:graphic>
          </wp:inline>
        </w:drawing>
      </w:r>
    </w:p>
    <w:p w:rsidR="00904F6C" w:rsidRDefault="00904F6C" w:rsidP="0089569C">
      <w:pPr>
        <w:spacing w:after="0" w:line="240" w:lineRule="auto"/>
        <w:jc w:val="left"/>
        <w:rPr>
          <w:noProof/>
          <w:lang w:eastAsia="en-GB"/>
        </w:rPr>
      </w:pPr>
    </w:p>
    <w:p w:rsidR="00904F6C" w:rsidRDefault="00904F6C" w:rsidP="0019394E">
      <w:pPr>
        <w:spacing w:after="0" w:line="240" w:lineRule="auto"/>
        <w:jc w:val="left"/>
        <w:rPr>
          <w:noProof/>
          <w:lang w:eastAsia="en-GB"/>
        </w:rPr>
      </w:pPr>
      <w:r>
        <w:rPr>
          <w:noProof/>
          <w:lang w:eastAsia="en-GB"/>
        </w:rPr>
        <w:br w:type="page"/>
      </w:r>
    </w:p>
    <w:p w:rsidR="00904F6C" w:rsidRPr="007F173A" w:rsidRDefault="00904F6C" w:rsidP="0019394E">
      <w:pPr>
        <w:pStyle w:val="Heading1"/>
      </w:pPr>
      <w:r w:rsidRPr="007F173A">
        <w:lastRenderedPageBreak/>
        <w:t>Recommended ESPON reading</w:t>
      </w:r>
    </w:p>
    <w:p w:rsidR="007F173A" w:rsidRDefault="007F173A" w:rsidP="007F173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7F173A" w:rsidRDefault="007F173A" w:rsidP="007F173A">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7F173A" w:rsidRPr="00A0472D" w:rsidTr="00002994">
        <w:trPr>
          <w:trHeight w:val="203"/>
        </w:trPr>
        <w:tc>
          <w:tcPr>
            <w:tcW w:w="1276" w:type="dxa"/>
            <w:shd w:val="clear" w:color="auto" w:fill="auto"/>
          </w:tcPr>
          <w:p w:rsidR="007F173A" w:rsidRPr="00A0472D" w:rsidRDefault="007F173A" w:rsidP="00002994">
            <w:pPr>
              <w:spacing w:after="0" w:line="20" w:lineRule="atLeast"/>
              <w:rPr>
                <w:b/>
                <w:sz w:val="18"/>
                <w:szCs w:val="18"/>
              </w:rPr>
            </w:pPr>
            <w:r w:rsidRPr="00A0472D">
              <w:rPr>
                <w:b/>
                <w:sz w:val="18"/>
                <w:szCs w:val="18"/>
              </w:rPr>
              <w:t>ESPON study</w:t>
            </w:r>
          </w:p>
        </w:tc>
        <w:tc>
          <w:tcPr>
            <w:tcW w:w="1418" w:type="dxa"/>
            <w:shd w:val="clear" w:color="auto" w:fill="auto"/>
          </w:tcPr>
          <w:p w:rsidR="007F173A" w:rsidRPr="00A0472D" w:rsidRDefault="007F173A" w:rsidP="00002994">
            <w:pPr>
              <w:spacing w:after="0" w:line="20" w:lineRule="atLeast"/>
              <w:rPr>
                <w:b/>
                <w:sz w:val="18"/>
                <w:szCs w:val="18"/>
              </w:rPr>
            </w:pPr>
            <w:r w:rsidRPr="00A0472D">
              <w:rPr>
                <w:b/>
                <w:sz w:val="18"/>
                <w:szCs w:val="18"/>
              </w:rPr>
              <w:t>Topic</w:t>
            </w:r>
          </w:p>
        </w:tc>
        <w:tc>
          <w:tcPr>
            <w:tcW w:w="5670" w:type="dxa"/>
            <w:shd w:val="clear" w:color="auto" w:fill="auto"/>
          </w:tcPr>
          <w:p w:rsidR="007F173A" w:rsidRPr="00A0472D" w:rsidRDefault="007F173A" w:rsidP="00002994">
            <w:pPr>
              <w:spacing w:after="0" w:line="20" w:lineRule="atLeast"/>
              <w:rPr>
                <w:b/>
                <w:sz w:val="18"/>
                <w:szCs w:val="18"/>
              </w:rPr>
            </w:pPr>
            <w:r w:rsidRPr="00A0472D">
              <w:rPr>
                <w:b/>
                <w:sz w:val="18"/>
                <w:szCs w:val="18"/>
              </w:rPr>
              <w:t>Content</w:t>
            </w:r>
          </w:p>
        </w:tc>
      </w:tr>
      <w:tr w:rsidR="007F173A" w:rsidRPr="00A0472D" w:rsidTr="00002994">
        <w:trPr>
          <w:trHeight w:val="274"/>
        </w:trPr>
        <w:tc>
          <w:tcPr>
            <w:tcW w:w="1276" w:type="dxa"/>
            <w:shd w:val="clear" w:color="auto" w:fill="FFFFFF" w:themeFill="background1"/>
          </w:tcPr>
          <w:p w:rsidR="007F173A" w:rsidRPr="00A0472D" w:rsidRDefault="007F173A" w:rsidP="00002994">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7F173A" w:rsidRPr="00A0472D" w:rsidRDefault="007F173A" w:rsidP="00002994">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7F173A" w:rsidRPr="00A0472D" w:rsidRDefault="007F173A" w:rsidP="00002994">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7F173A" w:rsidRPr="00A0472D" w:rsidTr="00002994">
        <w:trPr>
          <w:trHeight w:val="274"/>
        </w:trPr>
        <w:tc>
          <w:tcPr>
            <w:tcW w:w="1276" w:type="dxa"/>
            <w:shd w:val="clear" w:color="auto" w:fill="FFFFFF" w:themeFill="background1"/>
          </w:tcPr>
          <w:p w:rsidR="007F173A" w:rsidRPr="00A0472D" w:rsidRDefault="007F173A" w:rsidP="00002994">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7F173A" w:rsidRPr="00A0472D" w:rsidRDefault="007F173A" w:rsidP="00002994">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7F173A" w:rsidRPr="00A0472D" w:rsidRDefault="007F173A" w:rsidP="00002994">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7F173A" w:rsidRPr="00A0472D" w:rsidTr="00002994">
        <w:trPr>
          <w:trHeight w:val="274"/>
        </w:trPr>
        <w:tc>
          <w:tcPr>
            <w:tcW w:w="1276" w:type="dxa"/>
            <w:shd w:val="clear" w:color="auto" w:fill="FFFFFF" w:themeFill="background1"/>
          </w:tcPr>
          <w:p w:rsidR="007F173A" w:rsidRPr="00A0472D" w:rsidRDefault="007F173A" w:rsidP="00002994">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7F173A" w:rsidRPr="00A0472D" w:rsidRDefault="007F173A" w:rsidP="00002994">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7F173A" w:rsidRPr="00A0472D" w:rsidRDefault="007F173A" w:rsidP="00002994">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7F173A" w:rsidRPr="00A0472D" w:rsidTr="00002994">
        <w:trPr>
          <w:trHeight w:val="274"/>
        </w:trPr>
        <w:tc>
          <w:tcPr>
            <w:tcW w:w="1276" w:type="dxa"/>
            <w:shd w:val="clear" w:color="auto" w:fill="FFFFFF" w:themeFill="background1"/>
          </w:tcPr>
          <w:p w:rsidR="007F173A" w:rsidRPr="00A0472D" w:rsidRDefault="007F173A" w:rsidP="00002994">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7F173A" w:rsidRPr="00A0472D" w:rsidRDefault="007F173A" w:rsidP="00002994">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7F173A" w:rsidRPr="00A0472D" w:rsidRDefault="007F173A" w:rsidP="00002994">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7F173A" w:rsidRPr="00A0472D" w:rsidTr="00002994">
        <w:trPr>
          <w:trHeight w:val="274"/>
        </w:trPr>
        <w:tc>
          <w:tcPr>
            <w:tcW w:w="1276" w:type="dxa"/>
            <w:shd w:val="clear" w:color="auto" w:fill="FFFFFF" w:themeFill="background1"/>
          </w:tcPr>
          <w:p w:rsidR="007F173A" w:rsidRPr="00A0472D" w:rsidRDefault="007F173A" w:rsidP="00002994">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7F173A" w:rsidRPr="00A0472D" w:rsidRDefault="007F173A" w:rsidP="00002994">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7F173A" w:rsidRPr="00A0472D" w:rsidRDefault="007F173A" w:rsidP="00002994">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7F173A" w:rsidRPr="00A0472D" w:rsidTr="00002994">
        <w:trPr>
          <w:trHeight w:val="274"/>
        </w:trPr>
        <w:tc>
          <w:tcPr>
            <w:tcW w:w="1276" w:type="dxa"/>
            <w:tcBorders>
              <w:bottom w:val="single" w:sz="4" w:space="0" w:color="auto"/>
            </w:tcBorders>
            <w:shd w:val="clear" w:color="auto" w:fill="FFFFFF" w:themeFill="background1"/>
          </w:tcPr>
          <w:p w:rsidR="007F173A" w:rsidRPr="00A0472D" w:rsidRDefault="007F173A" w:rsidP="00002994">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7F173A" w:rsidRPr="00A0472D" w:rsidRDefault="007F173A" w:rsidP="00002994">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7F173A" w:rsidRPr="00A0472D" w:rsidRDefault="007F173A" w:rsidP="00002994">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7F173A" w:rsidRPr="00A0472D" w:rsidTr="00002994">
        <w:trPr>
          <w:trHeight w:val="274"/>
        </w:trPr>
        <w:tc>
          <w:tcPr>
            <w:tcW w:w="1276" w:type="dxa"/>
            <w:shd w:val="clear" w:color="auto" w:fill="FFFFFF" w:themeFill="background1"/>
          </w:tcPr>
          <w:p w:rsidR="007F173A" w:rsidRPr="008152C4" w:rsidRDefault="007F173A" w:rsidP="00002994">
            <w:pPr>
              <w:spacing w:after="0" w:line="20" w:lineRule="atLeast"/>
              <w:rPr>
                <w:sz w:val="18"/>
                <w:szCs w:val="18"/>
              </w:rPr>
            </w:pPr>
            <w:r>
              <w:rPr>
                <w:sz w:val="18"/>
                <w:szCs w:val="18"/>
              </w:rPr>
              <w:t>KIT</w:t>
            </w:r>
          </w:p>
        </w:tc>
        <w:tc>
          <w:tcPr>
            <w:tcW w:w="1418" w:type="dxa"/>
            <w:shd w:val="clear" w:color="auto" w:fill="FFFFFF" w:themeFill="background1"/>
          </w:tcPr>
          <w:p w:rsidR="007F173A" w:rsidRPr="008152C4" w:rsidRDefault="007F173A" w:rsidP="00002994">
            <w:pPr>
              <w:spacing w:after="0" w:line="20" w:lineRule="atLeast"/>
              <w:rPr>
                <w:sz w:val="18"/>
                <w:szCs w:val="18"/>
              </w:rPr>
            </w:pPr>
            <w:r w:rsidRPr="008152C4">
              <w:rPr>
                <w:sz w:val="18"/>
                <w:szCs w:val="18"/>
              </w:rPr>
              <w:t>Innovation</w:t>
            </w:r>
          </w:p>
        </w:tc>
        <w:tc>
          <w:tcPr>
            <w:tcW w:w="5670" w:type="dxa"/>
            <w:shd w:val="clear" w:color="auto" w:fill="FFFFFF" w:themeFill="background1"/>
          </w:tcPr>
          <w:p w:rsidR="007F173A" w:rsidRPr="008152C4" w:rsidRDefault="007F173A" w:rsidP="00002994">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7F173A" w:rsidRPr="00A0472D" w:rsidTr="00002994">
        <w:trPr>
          <w:trHeight w:val="274"/>
        </w:trPr>
        <w:tc>
          <w:tcPr>
            <w:tcW w:w="1276" w:type="dxa"/>
            <w:shd w:val="clear" w:color="auto" w:fill="FFFFFF" w:themeFill="background1"/>
          </w:tcPr>
          <w:p w:rsidR="007F173A" w:rsidRPr="00A0472D" w:rsidRDefault="007F173A" w:rsidP="00002994">
            <w:pPr>
              <w:spacing w:after="0" w:line="20" w:lineRule="atLeast"/>
              <w:rPr>
                <w:sz w:val="18"/>
                <w:szCs w:val="18"/>
              </w:rPr>
            </w:pPr>
            <w:r w:rsidRPr="008152C4">
              <w:rPr>
                <w:sz w:val="18"/>
                <w:szCs w:val="18"/>
              </w:rPr>
              <w:t>SGPTD</w:t>
            </w:r>
          </w:p>
        </w:tc>
        <w:tc>
          <w:tcPr>
            <w:tcW w:w="1418" w:type="dxa"/>
            <w:shd w:val="clear" w:color="auto" w:fill="FFFFFF" w:themeFill="background1"/>
          </w:tcPr>
          <w:p w:rsidR="007F173A" w:rsidRPr="00A0472D" w:rsidRDefault="007F173A" w:rsidP="00002994">
            <w:pPr>
              <w:spacing w:after="0" w:line="20" w:lineRule="atLeast"/>
              <w:rPr>
                <w:sz w:val="18"/>
                <w:szCs w:val="18"/>
              </w:rPr>
            </w:pPr>
            <w:r w:rsidRPr="008152C4">
              <w:rPr>
                <w:sz w:val="18"/>
                <w:szCs w:val="18"/>
              </w:rPr>
              <w:t>Growth poles</w:t>
            </w:r>
          </w:p>
        </w:tc>
        <w:tc>
          <w:tcPr>
            <w:tcW w:w="5670" w:type="dxa"/>
            <w:shd w:val="clear" w:color="auto" w:fill="FFFFFF" w:themeFill="background1"/>
          </w:tcPr>
          <w:p w:rsidR="007F173A" w:rsidRPr="00A0472D" w:rsidRDefault="007F173A" w:rsidP="00002994">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7F173A" w:rsidRPr="00A0472D" w:rsidTr="00002994">
        <w:trPr>
          <w:trHeight w:val="274"/>
        </w:trPr>
        <w:tc>
          <w:tcPr>
            <w:tcW w:w="1276" w:type="dxa"/>
            <w:shd w:val="clear" w:color="auto" w:fill="FFFFFF" w:themeFill="background1"/>
          </w:tcPr>
          <w:p w:rsidR="007F173A" w:rsidRPr="00D17F2C" w:rsidRDefault="007F173A" w:rsidP="00002994">
            <w:pPr>
              <w:spacing w:after="0" w:line="20" w:lineRule="atLeast"/>
              <w:rPr>
                <w:color w:val="000000" w:themeColor="text1"/>
                <w:sz w:val="18"/>
                <w:szCs w:val="18"/>
              </w:rPr>
            </w:pPr>
            <w:r w:rsidRPr="00D17F2C">
              <w:rPr>
                <w:color w:val="000000" w:themeColor="text1"/>
                <w:sz w:val="18"/>
                <w:szCs w:val="18"/>
              </w:rPr>
              <w:t xml:space="preserve">PURR </w:t>
            </w:r>
          </w:p>
        </w:tc>
        <w:tc>
          <w:tcPr>
            <w:tcW w:w="1418" w:type="dxa"/>
            <w:shd w:val="clear" w:color="auto" w:fill="FFFFFF" w:themeFill="background1"/>
          </w:tcPr>
          <w:p w:rsidR="007F173A" w:rsidRPr="00D17F2C" w:rsidRDefault="007F173A" w:rsidP="00002994">
            <w:pPr>
              <w:spacing w:after="0" w:line="20" w:lineRule="atLeast"/>
              <w:rPr>
                <w:color w:val="000000" w:themeColor="text1"/>
                <w:sz w:val="18"/>
                <w:szCs w:val="18"/>
              </w:rPr>
            </w:pPr>
            <w:r w:rsidRPr="00D17F2C">
              <w:rPr>
                <w:color w:val="000000" w:themeColor="text1"/>
                <w:sz w:val="18"/>
                <w:szCs w:val="18"/>
              </w:rPr>
              <w:t>Rural regions</w:t>
            </w:r>
          </w:p>
        </w:tc>
        <w:tc>
          <w:tcPr>
            <w:tcW w:w="5670" w:type="dxa"/>
            <w:shd w:val="clear" w:color="auto" w:fill="FFFFFF" w:themeFill="background1"/>
          </w:tcPr>
          <w:p w:rsidR="007F173A" w:rsidRPr="0093716E" w:rsidRDefault="007F173A" w:rsidP="00002994">
            <w:pPr>
              <w:pStyle w:val="Default"/>
              <w:jc w:val="both"/>
              <w:rPr>
                <w:rFonts w:ascii="Verdana" w:hAnsi="Verdana" w:cs="Times New Roman"/>
                <w:color w:val="000000" w:themeColor="text1"/>
                <w:sz w:val="18"/>
                <w:szCs w:val="18"/>
                <w:lang w:val="en-GB"/>
              </w:rPr>
            </w:pPr>
            <w:r w:rsidRPr="00D17F2C">
              <w:rPr>
                <w:rFonts w:ascii="Verdana" w:hAnsi="Verdana" w:cs="Times New Roman"/>
                <w:color w:val="000000" w:themeColor="text1"/>
                <w:sz w:val="18"/>
                <w:szCs w:val="18"/>
                <w:lang w:val="en-GB"/>
              </w:rPr>
              <w:t xml:space="preserve">It tests new ways to explore the territorial potentials of some rural areas and small and medium-sized towns in peripheral parts of Europe. </w:t>
            </w:r>
            <w:r>
              <w:rPr>
                <w:rFonts w:ascii="Verdana" w:hAnsi="Verdana" w:cs="Times New Roman"/>
                <w:color w:val="000000" w:themeColor="text1"/>
                <w:sz w:val="18"/>
                <w:szCs w:val="18"/>
                <w:lang w:val="en-GB"/>
              </w:rPr>
              <w:t>Two</w:t>
            </w:r>
            <w:r w:rsidRPr="00D17F2C">
              <w:rPr>
                <w:rFonts w:ascii="Verdana" w:hAnsi="Verdana" w:cs="Times New Roman"/>
                <w:color w:val="000000" w:themeColor="text1"/>
                <w:sz w:val="18"/>
                <w:szCs w:val="18"/>
                <w:lang w:val="en-GB"/>
              </w:rPr>
              <w:t xml:space="preserve"> case stud</w:t>
            </w:r>
            <w:r>
              <w:rPr>
                <w:rFonts w:ascii="Verdana" w:hAnsi="Verdana" w:cs="Times New Roman"/>
                <w:color w:val="000000" w:themeColor="text1"/>
                <w:sz w:val="18"/>
                <w:szCs w:val="18"/>
                <w:lang w:val="en-GB"/>
              </w:rPr>
              <w:t>ies concern</w:t>
            </w:r>
            <w:r w:rsidRPr="00D17F2C">
              <w:rPr>
                <w:rFonts w:ascii="Verdana" w:hAnsi="Verdana" w:cs="Times New Roman"/>
                <w:color w:val="000000" w:themeColor="text1"/>
                <w:sz w:val="18"/>
                <w:szCs w:val="18"/>
                <w:lang w:val="en-GB"/>
              </w:rPr>
              <w:t xml:space="preserve"> Dumfries and Galloway, in Scotland (see </w:t>
            </w:r>
            <w:r>
              <w:rPr>
                <w:rFonts w:ascii="Verdana" w:hAnsi="Verdana" w:cs="Times New Roman"/>
                <w:color w:val="000000" w:themeColor="text1"/>
                <w:sz w:val="18"/>
                <w:szCs w:val="18"/>
                <w:lang w:val="en-GB"/>
              </w:rPr>
              <w:t>m</w:t>
            </w:r>
            <w:r w:rsidRPr="00D17F2C">
              <w:rPr>
                <w:rFonts w:ascii="Verdana" w:hAnsi="Verdana" w:cs="Times New Roman"/>
                <w:color w:val="000000" w:themeColor="text1"/>
                <w:sz w:val="18"/>
                <w:szCs w:val="18"/>
                <w:lang w:val="en-GB"/>
              </w:rPr>
              <w:t>ap A.</w:t>
            </w:r>
            <w:r>
              <w:rPr>
                <w:rFonts w:ascii="Verdana" w:hAnsi="Verdana" w:cs="Times New Roman"/>
                <w:color w:val="000000" w:themeColor="text1"/>
                <w:sz w:val="18"/>
                <w:szCs w:val="18"/>
                <w:lang w:val="en-GB"/>
              </w:rPr>
              <w:t>8</w:t>
            </w:r>
            <w:r w:rsidRPr="00D17F2C">
              <w:rPr>
                <w:rFonts w:ascii="Verdana" w:hAnsi="Verdana" w:cs="Times New Roman"/>
                <w:color w:val="000000" w:themeColor="text1"/>
                <w:sz w:val="18"/>
                <w:szCs w:val="18"/>
                <w:lang w:val="en-GB"/>
              </w:rPr>
              <w:t xml:space="preserve"> and A.</w:t>
            </w:r>
            <w:r>
              <w:rPr>
                <w:rFonts w:ascii="Verdana" w:hAnsi="Verdana" w:cs="Times New Roman"/>
                <w:color w:val="000000" w:themeColor="text1"/>
                <w:sz w:val="18"/>
                <w:szCs w:val="18"/>
                <w:lang w:val="en-GB"/>
              </w:rPr>
              <w:t>9</w:t>
            </w:r>
            <w:r w:rsidRPr="00D17F2C">
              <w:rPr>
                <w:rFonts w:ascii="Verdana" w:hAnsi="Verdana" w:cs="Times New Roman"/>
                <w:color w:val="000000" w:themeColor="text1"/>
                <w:sz w:val="18"/>
                <w:szCs w:val="18"/>
                <w:lang w:val="en-GB"/>
              </w:rPr>
              <w:t xml:space="preserve">).  </w:t>
            </w:r>
          </w:p>
        </w:tc>
      </w:tr>
      <w:tr w:rsidR="007F173A" w:rsidRPr="00A0472D" w:rsidTr="00002994">
        <w:trPr>
          <w:trHeight w:val="274"/>
        </w:trPr>
        <w:tc>
          <w:tcPr>
            <w:tcW w:w="1276" w:type="dxa"/>
            <w:shd w:val="clear" w:color="auto" w:fill="FFFFFF" w:themeFill="background1"/>
          </w:tcPr>
          <w:p w:rsidR="007F173A" w:rsidRPr="007E02CB" w:rsidRDefault="007F173A" w:rsidP="00002994">
            <w:pPr>
              <w:spacing w:after="0" w:line="20" w:lineRule="atLeast"/>
              <w:rPr>
                <w:color w:val="000000" w:themeColor="text1"/>
                <w:sz w:val="18"/>
                <w:szCs w:val="18"/>
              </w:rPr>
            </w:pPr>
            <w:r w:rsidRPr="007E02CB">
              <w:rPr>
                <w:color w:val="000000" w:themeColor="text1"/>
                <w:sz w:val="18"/>
                <w:szCs w:val="18"/>
              </w:rPr>
              <w:t xml:space="preserve">GEOSPECS </w:t>
            </w:r>
          </w:p>
        </w:tc>
        <w:tc>
          <w:tcPr>
            <w:tcW w:w="1418" w:type="dxa"/>
            <w:shd w:val="clear" w:color="auto" w:fill="FFFFFF" w:themeFill="background1"/>
          </w:tcPr>
          <w:p w:rsidR="007F173A" w:rsidRPr="007E02CB" w:rsidRDefault="007F173A" w:rsidP="00002994">
            <w:pPr>
              <w:spacing w:after="0" w:line="20" w:lineRule="atLeast"/>
              <w:rPr>
                <w:color w:val="000000" w:themeColor="text1"/>
                <w:sz w:val="18"/>
                <w:szCs w:val="18"/>
              </w:rPr>
            </w:pPr>
            <w:r w:rsidRPr="007E02CB">
              <w:rPr>
                <w:color w:val="000000" w:themeColor="text1"/>
                <w:sz w:val="18"/>
                <w:szCs w:val="18"/>
              </w:rPr>
              <w:t>Specific types of territories</w:t>
            </w:r>
          </w:p>
        </w:tc>
        <w:tc>
          <w:tcPr>
            <w:tcW w:w="5670" w:type="dxa"/>
            <w:shd w:val="clear" w:color="auto" w:fill="FFFFFF" w:themeFill="background1"/>
          </w:tcPr>
          <w:p w:rsidR="007F173A" w:rsidRPr="007E02CB" w:rsidRDefault="007F173A" w:rsidP="00002994">
            <w:pPr>
              <w:spacing w:after="0" w:line="20" w:lineRule="atLeast"/>
              <w:rPr>
                <w:color w:val="000000" w:themeColor="text1"/>
                <w:sz w:val="18"/>
                <w:szCs w:val="18"/>
              </w:rPr>
            </w:pPr>
            <w:r w:rsidRPr="007E02CB">
              <w:rPr>
                <w:color w:val="000000" w:themeColor="text1"/>
                <w:sz w:val="18"/>
                <w:szCs w:val="18"/>
              </w:rPr>
              <w:t>The project provides evidence on the strength, weaknesses and development opportunities of specific types of territories and regions (</w:t>
            </w:r>
            <w:r>
              <w:rPr>
                <w:color w:val="000000" w:themeColor="text1"/>
                <w:sz w:val="18"/>
                <w:szCs w:val="18"/>
              </w:rPr>
              <w:t xml:space="preserve">see annex A). </w:t>
            </w:r>
          </w:p>
        </w:tc>
      </w:tr>
    </w:tbl>
    <w:p w:rsidR="007F173A" w:rsidRDefault="007F173A" w:rsidP="007F173A">
      <w:pPr>
        <w:spacing w:before="240"/>
      </w:pPr>
      <w:r>
        <w:t>Furthermore, some of overall ESPON products of particular interest for territorial cooperation are:</w:t>
      </w:r>
    </w:p>
    <w:p w:rsidR="007F173A" w:rsidRDefault="007F173A" w:rsidP="007F173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7F173A" w:rsidRDefault="007F173A" w:rsidP="007F173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7F173A" w:rsidRPr="00A33083" w:rsidRDefault="007F173A" w:rsidP="007F173A">
      <w:pPr>
        <w:pStyle w:val="ListParagraph"/>
        <w:numPr>
          <w:ilvl w:val="0"/>
          <w:numId w:val="4"/>
        </w:numPr>
      </w:pPr>
      <w:r w:rsidRPr="00112693">
        <w:rPr>
          <w:b/>
        </w:rPr>
        <w:t>ESPON 2013 Database</w:t>
      </w:r>
      <w:r w:rsidRPr="00A33083">
        <w:t xml:space="preserve"> provides regional information provided by </w:t>
      </w:r>
      <w:hyperlink r:id="rId23" w:history="1">
        <w:r w:rsidRPr="00A33083">
          <w:t>ESPON projects</w:t>
        </w:r>
      </w:hyperlink>
      <w:r w:rsidRPr="00A33083">
        <w:t xml:space="preserve"> and </w:t>
      </w:r>
      <w:hyperlink r:id="rId24" w:history="1">
        <w:r w:rsidRPr="00A33083">
          <w:t>EUROSTAT</w:t>
        </w:r>
      </w:hyperlink>
      <w:r w:rsidRPr="00A33083">
        <w:t xml:space="preserve">. </w:t>
      </w:r>
    </w:p>
    <w:p w:rsidR="007F173A" w:rsidRDefault="007F173A" w:rsidP="007F173A">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7F173A" w:rsidRPr="00CD642B" w:rsidRDefault="007F173A" w:rsidP="007F173A">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7F173A" w:rsidRDefault="007F173A" w:rsidP="007F173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04F6C" w:rsidRPr="005A5FC4" w:rsidRDefault="007F173A" w:rsidP="007F173A">
      <w:pPr>
        <w:jc w:val="center"/>
      </w:pPr>
      <w:r w:rsidRPr="00CD642B">
        <w:t>All ESPON reports and tools are freely available at</w:t>
      </w:r>
      <w:r>
        <w:br/>
      </w:r>
      <w:r w:rsidRPr="00CD642B">
        <w:rPr>
          <w:b/>
        </w:rPr>
        <w:t>www.espon.eu</w:t>
      </w:r>
    </w:p>
    <w:p w:rsidR="00904F6C" w:rsidRPr="00127102" w:rsidRDefault="002A520E" w:rsidP="00BC65E1">
      <w:pPr>
        <w:pStyle w:val="ESPONText"/>
        <w:rPr>
          <w:rFonts w:ascii="Arial" w:hAnsi="Arial" w:cs="Arial"/>
        </w:rPr>
      </w:pPr>
      <w:r>
        <w:rPr>
          <w:noProof/>
          <w:lang w:val="en-US" w:eastAsia="en-US"/>
        </w:rPr>
        <w:lastRenderedPageBreak/>
        <w:drawing>
          <wp:anchor distT="0" distB="0" distL="114300" distR="114300" simplePos="0" relativeHeight="251650560"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5" cstate="print"/>
                    <a:srcRect r="50919"/>
                    <a:stretch>
                      <a:fillRect/>
                    </a:stretch>
                  </pic:blipFill>
                  <pic:spPr bwMode="auto">
                    <a:xfrm>
                      <a:off x="0" y="0"/>
                      <a:ext cx="7594600" cy="10692130"/>
                    </a:xfrm>
                    <a:prstGeom prst="rect">
                      <a:avLst/>
                    </a:prstGeom>
                    <a:noFill/>
                  </pic:spPr>
                </pic:pic>
              </a:graphicData>
            </a:graphic>
          </wp:anchor>
        </w:drawing>
      </w:r>
      <w:r w:rsidR="00C7296F" w:rsidRPr="00C7296F">
        <w:rPr>
          <w:noProof/>
          <w:lang w:val="hu-HU" w:eastAsia="hu-HU"/>
        </w:rPr>
        <w:pict>
          <v:shapetype id="_x0000_t202" coordsize="21600,21600" o:spt="202" path="m,l,21600r21600,l21600,xe">
            <v:stroke joinstyle="miter"/>
            <v:path gradientshapeok="t" o:connecttype="rect"/>
          </v:shapetype>
          <v:shape id="Text Box 3" o:spid="_x0000_s1041" type="#_x0000_t202" style="position:absolute;left:0;text-align:left;margin-left:-36.35pt;margin-top:-9.15pt;width:228pt;height:25.2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8323DA" w:rsidRPr="00A51BC2" w:rsidRDefault="008323DA" w:rsidP="00A51BC2">
                  <w:pPr>
                    <w:rPr>
                      <w:szCs w:val="20"/>
                    </w:rPr>
                  </w:pPr>
                </w:p>
              </w:txbxContent>
            </v:textbox>
          </v:shape>
        </w:pict>
      </w:r>
      <w:r w:rsidR="00C7296F" w:rsidRPr="00C7296F">
        <w:rPr>
          <w:noProof/>
          <w:lang w:val="hu-HU" w:eastAsia="hu-HU"/>
        </w:rPr>
        <w:pict>
          <v:shape id="Text Box 2" o:spid="_x0000_s1042" type="#_x0000_t202" style="position:absolute;left:0;text-align:left;margin-left:-36.1pt;margin-top:-301.9pt;width:228pt;height:141.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323DA" w:rsidRPr="00FB783A" w:rsidRDefault="008323DA"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904F6C" w:rsidRPr="00127102" w:rsidSect="00C33A99">
      <w:headerReference w:type="default" r:id="rId26"/>
      <w:footerReference w:type="default" r:id="rId27"/>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75A" w:rsidRDefault="0062475A">
      <w:r>
        <w:separator/>
      </w:r>
    </w:p>
  </w:endnote>
  <w:endnote w:type="continuationSeparator" w:id="0">
    <w:p w:rsidR="0062475A" w:rsidRDefault="006247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DA" w:rsidRDefault="00C7296F" w:rsidP="00BC65E1">
    <w:pPr>
      <w:framePr w:wrap="around" w:vAnchor="text" w:hAnchor="margin" w:xAlign="right" w:y="1"/>
      <w:rPr>
        <w:rStyle w:val="PageNumber"/>
      </w:rPr>
    </w:pPr>
    <w:r>
      <w:rPr>
        <w:rStyle w:val="PageNumber"/>
      </w:rPr>
      <w:fldChar w:fldCharType="begin"/>
    </w:r>
    <w:r w:rsidR="008323DA">
      <w:rPr>
        <w:rStyle w:val="PageNumber"/>
      </w:rPr>
      <w:instrText xml:space="preserve">PAGE  </w:instrText>
    </w:r>
    <w:r>
      <w:rPr>
        <w:rStyle w:val="PageNumber"/>
      </w:rPr>
      <w:fldChar w:fldCharType="separate"/>
    </w:r>
    <w:r w:rsidR="008323DA">
      <w:rPr>
        <w:rStyle w:val="PageNumber"/>
        <w:noProof/>
      </w:rPr>
      <w:t>3</w:t>
    </w:r>
    <w:r>
      <w:rPr>
        <w:rStyle w:val="PageNumber"/>
      </w:rPr>
      <w:fldChar w:fldCharType="end"/>
    </w:r>
  </w:p>
  <w:p w:rsidR="008323DA" w:rsidRDefault="008323DA">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DA" w:rsidRPr="00A15B61" w:rsidRDefault="00C7296F" w:rsidP="00BC65E1">
    <w:pPr>
      <w:pStyle w:val="Footer"/>
      <w:framePr w:wrap="around" w:vAnchor="text" w:hAnchor="margin" w:xAlign="right" w:y="1"/>
      <w:rPr>
        <w:rStyle w:val="PageNumber"/>
      </w:rPr>
    </w:pPr>
    <w:r>
      <w:rPr>
        <w:rStyle w:val="PageNumber"/>
        <w:szCs w:val="20"/>
      </w:rPr>
      <w:fldChar w:fldCharType="begin"/>
    </w:r>
    <w:r w:rsidR="008323DA">
      <w:rPr>
        <w:rStyle w:val="PageNumber"/>
        <w:szCs w:val="20"/>
      </w:rPr>
      <w:instrText>PAGE</w:instrText>
    </w:r>
    <w:r w:rsidR="008323DA" w:rsidRPr="00A15B61">
      <w:rPr>
        <w:rStyle w:val="PageNumber"/>
        <w:szCs w:val="20"/>
      </w:rPr>
      <w:instrText xml:space="preserve">  </w:instrText>
    </w:r>
    <w:r>
      <w:rPr>
        <w:rStyle w:val="PageNumber"/>
        <w:szCs w:val="20"/>
      </w:rPr>
      <w:fldChar w:fldCharType="separate"/>
    </w:r>
    <w:r w:rsidR="00A51BC2">
      <w:rPr>
        <w:rStyle w:val="PageNumber"/>
        <w:noProof/>
        <w:szCs w:val="20"/>
      </w:rPr>
      <w:t>1</w:t>
    </w:r>
    <w:r>
      <w:rPr>
        <w:rStyle w:val="PageNumber"/>
        <w:szCs w:val="20"/>
      </w:rPr>
      <w:fldChar w:fldCharType="end"/>
    </w:r>
  </w:p>
  <w:p w:rsidR="008323DA" w:rsidRPr="00A15B61" w:rsidRDefault="008323DA"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DA" w:rsidRPr="00A15B61" w:rsidRDefault="00C7296F" w:rsidP="00BC65E1">
    <w:pPr>
      <w:pStyle w:val="Footer"/>
      <w:framePr w:wrap="around" w:vAnchor="text" w:hAnchor="margin" w:xAlign="right" w:y="1"/>
      <w:rPr>
        <w:rStyle w:val="PageNumber"/>
      </w:rPr>
    </w:pPr>
    <w:r>
      <w:rPr>
        <w:rStyle w:val="PageNumber"/>
        <w:szCs w:val="20"/>
      </w:rPr>
      <w:fldChar w:fldCharType="begin"/>
    </w:r>
    <w:r w:rsidR="008323DA">
      <w:rPr>
        <w:rStyle w:val="PageNumber"/>
        <w:szCs w:val="20"/>
      </w:rPr>
      <w:instrText>PAGE</w:instrText>
    </w:r>
    <w:r w:rsidR="008323DA" w:rsidRPr="00A15B61">
      <w:rPr>
        <w:rStyle w:val="PageNumber"/>
        <w:szCs w:val="20"/>
      </w:rPr>
      <w:instrText xml:space="preserve">  </w:instrText>
    </w:r>
    <w:r>
      <w:rPr>
        <w:rStyle w:val="PageNumber"/>
        <w:szCs w:val="20"/>
      </w:rPr>
      <w:fldChar w:fldCharType="separate"/>
    </w:r>
    <w:r w:rsidR="00A51BC2">
      <w:rPr>
        <w:rStyle w:val="PageNumber"/>
        <w:noProof/>
        <w:szCs w:val="20"/>
      </w:rPr>
      <w:t>16</w:t>
    </w:r>
    <w:r>
      <w:rPr>
        <w:rStyle w:val="PageNumber"/>
        <w:szCs w:val="20"/>
      </w:rPr>
      <w:fldChar w:fldCharType="end"/>
    </w:r>
  </w:p>
  <w:p w:rsidR="008323DA" w:rsidRPr="00A15B61" w:rsidRDefault="008323DA"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75A" w:rsidRDefault="0062475A">
      <w:r>
        <w:separator/>
      </w:r>
    </w:p>
  </w:footnote>
  <w:footnote w:type="continuationSeparator" w:id="0">
    <w:p w:rsidR="0062475A" w:rsidRDefault="006247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DA" w:rsidRDefault="00C7296F">
    <w:pPr>
      <w:pStyle w:val="Header"/>
    </w:pPr>
    <w:r w:rsidRPr="00C7296F">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323DA" w:rsidRDefault="008323DA"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323DA" w:rsidRPr="00721B03" w:rsidRDefault="008323DA"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323DA">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3DA" w:rsidRDefault="008323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6F7A"/>
    <w:rsid w:val="000172BC"/>
    <w:rsid w:val="00020978"/>
    <w:rsid w:val="0002197F"/>
    <w:rsid w:val="00021A06"/>
    <w:rsid w:val="00031AEC"/>
    <w:rsid w:val="00031FE5"/>
    <w:rsid w:val="00032745"/>
    <w:rsid w:val="00036C34"/>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91731"/>
    <w:rsid w:val="000A0B9B"/>
    <w:rsid w:val="000A0F69"/>
    <w:rsid w:val="000A25A1"/>
    <w:rsid w:val="000A647A"/>
    <w:rsid w:val="000B3819"/>
    <w:rsid w:val="000B4718"/>
    <w:rsid w:val="000B58AA"/>
    <w:rsid w:val="000B607D"/>
    <w:rsid w:val="000B7A7D"/>
    <w:rsid w:val="000B7F4E"/>
    <w:rsid w:val="000C36A1"/>
    <w:rsid w:val="000C4070"/>
    <w:rsid w:val="000C716F"/>
    <w:rsid w:val="000D0D18"/>
    <w:rsid w:val="000D3299"/>
    <w:rsid w:val="000D57C9"/>
    <w:rsid w:val="000D7CC4"/>
    <w:rsid w:val="000E6CC8"/>
    <w:rsid w:val="000E76EB"/>
    <w:rsid w:val="000F023B"/>
    <w:rsid w:val="000F1BA2"/>
    <w:rsid w:val="000F2140"/>
    <w:rsid w:val="000F6F8F"/>
    <w:rsid w:val="00104631"/>
    <w:rsid w:val="00105B9D"/>
    <w:rsid w:val="00112060"/>
    <w:rsid w:val="001120BB"/>
    <w:rsid w:val="00112693"/>
    <w:rsid w:val="0011785C"/>
    <w:rsid w:val="0012533B"/>
    <w:rsid w:val="001260F4"/>
    <w:rsid w:val="00126FC2"/>
    <w:rsid w:val="00127102"/>
    <w:rsid w:val="00127104"/>
    <w:rsid w:val="00130187"/>
    <w:rsid w:val="001303D0"/>
    <w:rsid w:val="00132FDD"/>
    <w:rsid w:val="00133602"/>
    <w:rsid w:val="00134DC7"/>
    <w:rsid w:val="0013600B"/>
    <w:rsid w:val="00147567"/>
    <w:rsid w:val="001507D7"/>
    <w:rsid w:val="00150A5A"/>
    <w:rsid w:val="00150FCB"/>
    <w:rsid w:val="00151954"/>
    <w:rsid w:val="00152974"/>
    <w:rsid w:val="00152E8D"/>
    <w:rsid w:val="00153108"/>
    <w:rsid w:val="00153EE2"/>
    <w:rsid w:val="0015691A"/>
    <w:rsid w:val="00157B13"/>
    <w:rsid w:val="00162FF6"/>
    <w:rsid w:val="001633C3"/>
    <w:rsid w:val="0016435C"/>
    <w:rsid w:val="00172B99"/>
    <w:rsid w:val="00177F91"/>
    <w:rsid w:val="00180D67"/>
    <w:rsid w:val="00182673"/>
    <w:rsid w:val="001838FE"/>
    <w:rsid w:val="00184B93"/>
    <w:rsid w:val="001907DA"/>
    <w:rsid w:val="00191F3D"/>
    <w:rsid w:val="001929F2"/>
    <w:rsid w:val="0019394E"/>
    <w:rsid w:val="00193F6F"/>
    <w:rsid w:val="00194A93"/>
    <w:rsid w:val="001A0A8D"/>
    <w:rsid w:val="001A1078"/>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0B02"/>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5DC8"/>
    <w:rsid w:val="002371D8"/>
    <w:rsid w:val="00253237"/>
    <w:rsid w:val="0025373C"/>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A0221"/>
    <w:rsid w:val="002A0E97"/>
    <w:rsid w:val="002A15B2"/>
    <w:rsid w:val="002A2C96"/>
    <w:rsid w:val="002A520E"/>
    <w:rsid w:val="002A7776"/>
    <w:rsid w:val="002B1929"/>
    <w:rsid w:val="002B51CA"/>
    <w:rsid w:val="002B71A8"/>
    <w:rsid w:val="002C06ED"/>
    <w:rsid w:val="002C2CBC"/>
    <w:rsid w:val="002C4473"/>
    <w:rsid w:val="002C780D"/>
    <w:rsid w:val="002C7F41"/>
    <w:rsid w:val="002D1443"/>
    <w:rsid w:val="002D3185"/>
    <w:rsid w:val="002D4A8C"/>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12D3"/>
    <w:rsid w:val="003351B4"/>
    <w:rsid w:val="00337519"/>
    <w:rsid w:val="00337872"/>
    <w:rsid w:val="00344591"/>
    <w:rsid w:val="003445A4"/>
    <w:rsid w:val="00351255"/>
    <w:rsid w:val="00351563"/>
    <w:rsid w:val="003526D5"/>
    <w:rsid w:val="00352B1D"/>
    <w:rsid w:val="00352D76"/>
    <w:rsid w:val="003532AF"/>
    <w:rsid w:val="00353B5C"/>
    <w:rsid w:val="0035504D"/>
    <w:rsid w:val="00362CD8"/>
    <w:rsid w:val="00362D4C"/>
    <w:rsid w:val="00371DBA"/>
    <w:rsid w:val="0037366C"/>
    <w:rsid w:val="00373AFF"/>
    <w:rsid w:val="0037440D"/>
    <w:rsid w:val="00376B51"/>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08CD"/>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3E7F"/>
    <w:rsid w:val="004353CB"/>
    <w:rsid w:val="0044029A"/>
    <w:rsid w:val="00443CD7"/>
    <w:rsid w:val="0044572B"/>
    <w:rsid w:val="00445A8A"/>
    <w:rsid w:val="0044604E"/>
    <w:rsid w:val="00447210"/>
    <w:rsid w:val="004517E0"/>
    <w:rsid w:val="00454825"/>
    <w:rsid w:val="00456E90"/>
    <w:rsid w:val="004604F3"/>
    <w:rsid w:val="0046572E"/>
    <w:rsid w:val="00467598"/>
    <w:rsid w:val="00470A8B"/>
    <w:rsid w:val="00472744"/>
    <w:rsid w:val="00473131"/>
    <w:rsid w:val="00475DCB"/>
    <w:rsid w:val="004778EB"/>
    <w:rsid w:val="00477CEB"/>
    <w:rsid w:val="00480067"/>
    <w:rsid w:val="0048039B"/>
    <w:rsid w:val="004854D1"/>
    <w:rsid w:val="00485672"/>
    <w:rsid w:val="004900DF"/>
    <w:rsid w:val="004933BE"/>
    <w:rsid w:val="00496FAE"/>
    <w:rsid w:val="004A0E81"/>
    <w:rsid w:val="004A0FE9"/>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0E71"/>
    <w:rsid w:val="004E11D0"/>
    <w:rsid w:val="004E391C"/>
    <w:rsid w:val="004E39BD"/>
    <w:rsid w:val="004E3B1D"/>
    <w:rsid w:val="004F0F17"/>
    <w:rsid w:val="004F26B8"/>
    <w:rsid w:val="004F4013"/>
    <w:rsid w:val="004F6946"/>
    <w:rsid w:val="005023B0"/>
    <w:rsid w:val="005028EF"/>
    <w:rsid w:val="00502D0D"/>
    <w:rsid w:val="00502E0A"/>
    <w:rsid w:val="00505959"/>
    <w:rsid w:val="005070C8"/>
    <w:rsid w:val="00511059"/>
    <w:rsid w:val="005131EA"/>
    <w:rsid w:val="00524215"/>
    <w:rsid w:val="00526E5A"/>
    <w:rsid w:val="00531A3A"/>
    <w:rsid w:val="005322AA"/>
    <w:rsid w:val="00541834"/>
    <w:rsid w:val="0054220D"/>
    <w:rsid w:val="005423A5"/>
    <w:rsid w:val="005433C5"/>
    <w:rsid w:val="00545F8A"/>
    <w:rsid w:val="005463AC"/>
    <w:rsid w:val="0055259E"/>
    <w:rsid w:val="00552FAD"/>
    <w:rsid w:val="00556D25"/>
    <w:rsid w:val="00562AB0"/>
    <w:rsid w:val="0056756F"/>
    <w:rsid w:val="00571653"/>
    <w:rsid w:val="00571A61"/>
    <w:rsid w:val="00571C81"/>
    <w:rsid w:val="0057346D"/>
    <w:rsid w:val="005761A6"/>
    <w:rsid w:val="00582C35"/>
    <w:rsid w:val="00582D2E"/>
    <w:rsid w:val="00585345"/>
    <w:rsid w:val="00593AD0"/>
    <w:rsid w:val="00593B7A"/>
    <w:rsid w:val="00595161"/>
    <w:rsid w:val="005967A2"/>
    <w:rsid w:val="00597872"/>
    <w:rsid w:val="005A07DE"/>
    <w:rsid w:val="005A3E20"/>
    <w:rsid w:val="005A5FC4"/>
    <w:rsid w:val="005A73D9"/>
    <w:rsid w:val="005A7DFC"/>
    <w:rsid w:val="005B3722"/>
    <w:rsid w:val="005C108D"/>
    <w:rsid w:val="005C1E0A"/>
    <w:rsid w:val="005C58DE"/>
    <w:rsid w:val="005C6D17"/>
    <w:rsid w:val="005D0C21"/>
    <w:rsid w:val="005D1921"/>
    <w:rsid w:val="005D2D0B"/>
    <w:rsid w:val="005D53EE"/>
    <w:rsid w:val="005D621D"/>
    <w:rsid w:val="005D78FE"/>
    <w:rsid w:val="005E463C"/>
    <w:rsid w:val="005E4E4C"/>
    <w:rsid w:val="005E6290"/>
    <w:rsid w:val="005F24DD"/>
    <w:rsid w:val="005F5C4D"/>
    <w:rsid w:val="005F7BDC"/>
    <w:rsid w:val="0060091E"/>
    <w:rsid w:val="00610DAB"/>
    <w:rsid w:val="006111F7"/>
    <w:rsid w:val="0061660C"/>
    <w:rsid w:val="00616DE9"/>
    <w:rsid w:val="0061757F"/>
    <w:rsid w:val="00621EEF"/>
    <w:rsid w:val="0062475A"/>
    <w:rsid w:val="00632676"/>
    <w:rsid w:val="006326AB"/>
    <w:rsid w:val="00633FE2"/>
    <w:rsid w:val="00643649"/>
    <w:rsid w:val="006441ED"/>
    <w:rsid w:val="006458D8"/>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87F33"/>
    <w:rsid w:val="00690277"/>
    <w:rsid w:val="0069219F"/>
    <w:rsid w:val="006955F2"/>
    <w:rsid w:val="00695762"/>
    <w:rsid w:val="006A17A6"/>
    <w:rsid w:val="006A30AF"/>
    <w:rsid w:val="006A3291"/>
    <w:rsid w:val="006A5610"/>
    <w:rsid w:val="006A5F96"/>
    <w:rsid w:val="006A7FE2"/>
    <w:rsid w:val="006B48FD"/>
    <w:rsid w:val="006B59A1"/>
    <w:rsid w:val="006C17BA"/>
    <w:rsid w:val="006C2E1C"/>
    <w:rsid w:val="006C481B"/>
    <w:rsid w:val="006D0750"/>
    <w:rsid w:val="006D18CA"/>
    <w:rsid w:val="006D26C2"/>
    <w:rsid w:val="006D3D3E"/>
    <w:rsid w:val="006D4D0B"/>
    <w:rsid w:val="006D5157"/>
    <w:rsid w:val="006D5350"/>
    <w:rsid w:val="006D6890"/>
    <w:rsid w:val="006E1A6B"/>
    <w:rsid w:val="006E4366"/>
    <w:rsid w:val="006E5E38"/>
    <w:rsid w:val="006E618B"/>
    <w:rsid w:val="006E6F84"/>
    <w:rsid w:val="006F0BC4"/>
    <w:rsid w:val="006F222E"/>
    <w:rsid w:val="006F49F1"/>
    <w:rsid w:val="006F4E16"/>
    <w:rsid w:val="00702CB8"/>
    <w:rsid w:val="00707885"/>
    <w:rsid w:val="0071023A"/>
    <w:rsid w:val="007107A7"/>
    <w:rsid w:val="00710F16"/>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522B8"/>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BEC"/>
    <w:rsid w:val="007A48EF"/>
    <w:rsid w:val="007A4E31"/>
    <w:rsid w:val="007A508C"/>
    <w:rsid w:val="007A5C06"/>
    <w:rsid w:val="007A5D52"/>
    <w:rsid w:val="007A5E35"/>
    <w:rsid w:val="007B09FE"/>
    <w:rsid w:val="007B15EF"/>
    <w:rsid w:val="007B19A0"/>
    <w:rsid w:val="007B59B6"/>
    <w:rsid w:val="007B7ADB"/>
    <w:rsid w:val="007C52E9"/>
    <w:rsid w:val="007E2555"/>
    <w:rsid w:val="007E3756"/>
    <w:rsid w:val="007F16DF"/>
    <w:rsid w:val="007F173A"/>
    <w:rsid w:val="007F2A06"/>
    <w:rsid w:val="007F3142"/>
    <w:rsid w:val="008044DD"/>
    <w:rsid w:val="00804BA1"/>
    <w:rsid w:val="00805E5D"/>
    <w:rsid w:val="00811469"/>
    <w:rsid w:val="00812490"/>
    <w:rsid w:val="00812ECD"/>
    <w:rsid w:val="008132AD"/>
    <w:rsid w:val="00813E3C"/>
    <w:rsid w:val="00823513"/>
    <w:rsid w:val="0082390C"/>
    <w:rsid w:val="00823FCF"/>
    <w:rsid w:val="00827112"/>
    <w:rsid w:val="00827496"/>
    <w:rsid w:val="008321A8"/>
    <w:rsid w:val="008323DA"/>
    <w:rsid w:val="00835D9A"/>
    <w:rsid w:val="00835EF3"/>
    <w:rsid w:val="008419E4"/>
    <w:rsid w:val="00844319"/>
    <w:rsid w:val="008454F5"/>
    <w:rsid w:val="00846CF1"/>
    <w:rsid w:val="00847741"/>
    <w:rsid w:val="00855241"/>
    <w:rsid w:val="008555CF"/>
    <w:rsid w:val="00856EFD"/>
    <w:rsid w:val="00857F3C"/>
    <w:rsid w:val="00860A68"/>
    <w:rsid w:val="00866DB6"/>
    <w:rsid w:val="00871839"/>
    <w:rsid w:val="00875551"/>
    <w:rsid w:val="00876AC8"/>
    <w:rsid w:val="008829C7"/>
    <w:rsid w:val="00882F9C"/>
    <w:rsid w:val="00885028"/>
    <w:rsid w:val="00886C11"/>
    <w:rsid w:val="00887BC9"/>
    <w:rsid w:val="00891455"/>
    <w:rsid w:val="0089569C"/>
    <w:rsid w:val="00895E5B"/>
    <w:rsid w:val="00896802"/>
    <w:rsid w:val="008A3B96"/>
    <w:rsid w:val="008A63DF"/>
    <w:rsid w:val="008A68FF"/>
    <w:rsid w:val="008A7B32"/>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2813"/>
    <w:rsid w:val="008E385E"/>
    <w:rsid w:val="008E4D86"/>
    <w:rsid w:val="008E6B67"/>
    <w:rsid w:val="008F3EE5"/>
    <w:rsid w:val="008F6322"/>
    <w:rsid w:val="008F7203"/>
    <w:rsid w:val="00904F6C"/>
    <w:rsid w:val="00905001"/>
    <w:rsid w:val="00906A2B"/>
    <w:rsid w:val="009116A2"/>
    <w:rsid w:val="00911A6A"/>
    <w:rsid w:val="0091343C"/>
    <w:rsid w:val="00913874"/>
    <w:rsid w:val="009174D0"/>
    <w:rsid w:val="00921D38"/>
    <w:rsid w:val="00924A61"/>
    <w:rsid w:val="0092562C"/>
    <w:rsid w:val="00927D4F"/>
    <w:rsid w:val="00931A61"/>
    <w:rsid w:val="0093778A"/>
    <w:rsid w:val="0094059F"/>
    <w:rsid w:val="00943F1C"/>
    <w:rsid w:val="00946375"/>
    <w:rsid w:val="00951B33"/>
    <w:rsid w:val="00952C12"/>
    <w:rsid w:val="009540EB"/>
    <w:rsid w:val="009607D7"/>
    <w:rsid w:val="00970B49"/>
    <w:rsid w:val="00971C9B"/>
    <w:rsid w:val="009727D3"/>
    <w:rsid w:val="009729A4"/>
    <w:rsid w:val="00973416"/>
    <w:rsid w:val="00974016"/>
    <w:rsid w:val="00974649"/>
    <w:rsid w:val="00977AED"/>
    <w:rsid w:val="00983AB6"/>
    <w:rsid w:val="0099613A"/>
    <w:rsid w:val="00997518"/>
    <w:rsid w:val="009A1E8F"/>
    <w:rsid w:val="009A379F"/>
    <w:rsid w:val="009A768F"/>
    <w:rsid w:val="009A7921"/>
    <w:rsid w:val="009B2BE6"/>
    <w:rsid w:val="009B4050"/>
    <w:rsid w:val="009B592C"/>
    <w:rsid w:val="009C0409"/>
    <w:rsid w:val="009C12E9"/>
    <w:rsid w:val="009C7E22"/>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2D06"/>
    <w:rsid w:val="009F3D83"/>
    <w:rsid w:val="009F7417"/>
    <w:rsid w:val="009F77A8"/>
    <w:rsid w:val="00A02FD6"/>
    <w:rsid w:val="00A0472D"/>
    <w:rsid w:val="00A06AEA"/>
    <w:rsid w:val="00A12916"/>
    <w:rsid w:val="00A13E7F"/>
    <w:rsid w:val="00A1458D"/>
    <w:rsid w:val="00A14BAC"/>
    <w:rsid w:val="00A15B61"/>
    <w:rsid w:val="00A16062"/>
    <w:rsid w:val="00A2166F"/>
    <w:rsid w:val="00A24B55"/>
    <w:rsid w:val="00A265BE"/>
    <w:rsid w:val="00A304AA"/>
    <w:rsid w:val="00A31617"/>
    <w:rsid w:val="00A33083"/>
    <w:rsid w:val="00A37956"/>
    <w:rsid w:val="00A413E0"/>
    <w:rsid w:val="00A433AA"/>
    <w:rsid w:val="00A43B31"/>
    <w:rsid w:val="00A447B6"/>
    <w:rsid w:val="00A457AA"/>
    <w:rsid w:val="00A46196"/>
    <w:rsid w:val="00A47168"/>
    <w:rsid w:val="00A51BC2"/>
    <w:rsid w:val="00A55855"/>
    <w:rsid w:val="00A61620"/>
    <w:rsid w:val="00A62876"/>
    <w:rsid w:val="00A7369A"/>
    <w:rsid w:val="00A73F5F"/>
    <w:rsid w:val="00A76236"/>
    <w:rsid w:val="00A76F72"/>
    <w:rsid w:val="00A7710B"/>
    <w:rsid w:val="00A9174B"/>
    <w:rsid w:val="00A91FBB"/>
    <w:rsid w:val="00A9486C"/>
    <w:rsid w:val="00A967C7"/>
    <w:rsid w:val="00A9708D"/>
    <w:rsid w:val="00AA2C67"/>
    <w:rsid w:val="00AA4952"/>
    <w:rsid w:val="00AA5486"/>
    <w:rsid w:val="00AB0F46"/>
    <w:rsid w:val="00AB15FA"/>
    <w:rsid w:val="00AB16F9"/>
    <w:rsid w:val="00AB23D7"/>
    <w:rsid w:val="00AB243A"/>
    <w:rsid w:val="00AB5BB9"/>
    <w:rsid w:val="00AB6431"/>
    <w:rsid w:val="00AC3144"/>
    <w:rsid w:val="00AC52D7"/>
    <w:rsid w:val="00AC7369"/>
    <w:rsid w:val="00AD1095"/>
    <w:rsid w:val="00AD5E29"/>
    <w:rsid w:val="00AD6766"/>
    <w:rsid w:val="00AE6211"/>
    <w:rsid w:val="00AE7F5D"/>
    <w:rsid w:val="00AF0A68"/>
    <w:rsid w:val="00AF0B72"/>
    <w:rsid w:val="00AF1C0F"/>
    <w:rsid w:val="00AF35C2"/>
    <w:rsid w:val="00AF42C2"/>
    <w:rsid w:val="00AF42DC"/>
    <w:rsid w:val="00AF47EF"/>
    <w:rsid w:val="00AF61D7"/>
    <w:rsid w:val="00AF6A34"/>
    <w:rsid w:val="00B04642"/>
    <w:rsid w:val="00B04E01"/>
    <w:rsid w:val="00B06874"/>
    <w:rsid w:val="00B07620"/>
    <w:rsid w:val="00B07EAE"/>
    <w:rsid w:val="00B1075F"/>
    <w:rsid w:val="00B111E1"/>
    <w:rsid w:val="00B135A2"/>
    <w:rsid w:val="00B13697"/>
    <w:rsid w:val="00B16F84"/>
    <w:rsid w:val="00B26583"/>
    <w:rsid w:val="00B2763C"/>
    <w:rsid w:val="00B27F58"/>
    <w:rsid w:val="00B31866"/>
    <w:rsid w:val="00B3257D"/>
    <w:rsid w:val="00B328F8"/>
    <w:rsid w:val="00B43B1B"/>
    <w:rsid w:val="00B45029"/>
    <w:rsid w:val="00B472A4"/>
    <w:rsid w:val="00B47314"/>
    <w:rsid w:val="00B47B1B"/>
    <w:rsid w:val="00B47EEE"/>
    <w:rsid w:val="00B5018A"/>
    <w:rsid w:val="00B51A9A"/>
    <w:rsid w:val="00B53A13"/>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442"/>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9E6"/>
    <w:rsid w:val="00BC5E43"/>
    <w:rsid w:val="00BC65E1"/>
    <w:rsid w:val="00BC6DBF"/>
    <w:rsid w:val="00BC7B26"/>
    <w:rsid w:val="00BD051A"/>
    <w:rsid w:val="00BE0557"/>
    <w:rsid w:val="00BE0A63"/>
    <w:rsid w:val="00BE188E"/>
    <w:rsid w:val="00BE223D"/>
    <w:rsid w:val="00BE4274"/>
    <w:rsid w:val="00BE6599"/>
    <w:rsid w:val="00BF378B"/>
    <w:rsid w:val="00BF3C62"/>
    <w:rsid w:val="00BF56C7"/>
    <w:rsid w:val="00C00C96"/>
    <w:rsid w:val="00C019EF"/>
    <w:rsid w:val="00C033E5"/>
    <w:rsid w:val="00C04A1F"/>
    <w:rsid w:val="00C04A31"/>
    <w:rsid w:val="00C0554A"/>
    <w:rsid w:val="00C068DF"/>
    <w:rsid w:val="00C11D58"/>
    <w:rsid w:val="00C13A33"/>
    <w:rsid w:val="00C1408A"/>
    <w:rsid w:val="00C160A4"/>
    <w:rsid w:val="00C25CB5"/>
    <w:rsid w:val="00C26F3B"/>
    <w:rsid w:val="00C30BF8"/>
    <w:rsid w:val="00C32582"/>
    <w:rsid w:val="00C33A99"/>
    <w:rsid w:val="00C34A6E"/>
    <w:rsid w:val="00C35741"/>
    <w:rsid w:val="00C421CA"/>
    <w:rsid w:val="00C46385"/>
    <w:rsid w:val="00C466C1"/>
    <w:rsid w:val="00C5084D"/>
    <w:rsid w:val="00C508D6"/>
    <w:rsid w:val="00C51A75"/>
    <w:rsid w:val="00C520E9"/>
    <w:rsid w:val="00C5255D"/>
    <w:rsid w:val="00C52C56"/>
    <w:rsid w:val="00C54AB8"/>
    <w:rsid w:val="00C603EB"/>
    <w:rsid w:val="00C664BB"/>
    <w:rsid w:val="00C675CC"/>
    <w:rsid w:val="00C7069F"/>
    <w:rsid w:val="00C71718"/>
    <w:rsid w:val="00C71FE4"/>
    <w:rsid w:val="00C7296F"/>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532A"/>
    <w:rsid w:val="00CB672B"/>
    <w:rsid w:val="00CB7211"/>
    <w:rsid w:val="00CC030D"/>
    <w:rsid w:val="00CC1A98"/>
    <w:rsid w:val="00CC6723"/>
    <w:rsid w:val="00CC7EC5"/>
    <w:rsid w:val="00CD45BE"/>
    <w:rsid w:val="00CD5112"/>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24F"/>
    <w:rsid w:val="00D94F5F"/>
    <w:rsid w:val="00DA1668"/>
    <w:rsid w:val="00DA20D3"/>
    <w:rsid w:val="00DA3493"/>
    <w:rsid w:val="00DA3852"/>
    <w:rsid w:val="00DA49C4"/>
    <w:rsid w:val="00DA63BF"/>
    <w:rsid w:val="00DA6F83"/>
    <w:rsid w:val="00DB42BD"/>
    <w:rsid w:val="00DB605C"/>
    <w:rsid w:val="00DC0422"/>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808"/>
    <w:rsid w:val="00E11F16"/>
    <w:rsid w:val="00E13BE2"/>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1CD4"/>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218C"/>
    <w:rsid w:val="00F252AD"/>
    <w:rsid w:val="00F320EF"/>
    <w:rsid w:val="00F3218A"/>
    <w:rsid w:val="00F34787"/>
    <w:rsid w:val="00F358CB"/>
    <w:rsid w:val="00F405D2"/>
    <w:rsid w:val="00F45305"/>
    <w:rsid w:val="00F47743"/>
    <w:rsid w:val="00F519FB"/>
    <w:rsid w:val="00F54E2D"/>
    <w:rsid w:val="00F57119"/>
    <w:rsid w:val="00F60CB5"/>
    <w:rsid w:val="00F62865"/>
    <w:rsid w:val="00F70635"/>
    <w:rsid w:val="00F738B9"/>
    <w:rsid w:val="00F74241"/>
    <w:rsid w:val="00F77867"/>
    <w:rsid w:val="00F77A11"/>
    <w:rsid w:val="00F77AD1"/>
    <w:rsid w:val="00F804D1"/>
    <w:rsid w:val="00F81275"/>
    <w:rsid w:val="00F84C17"/>
    <w:rsid w:val="00F8766A"/>
    <w:rsid w:val="00F92391"/>
    <w:rsid w:val="00F96E1F"/>
    <w:rsid w:val="00FA0267"/>
    <w:rsid w:val="00FA1FBB"/>
    <w:rsid w:val="00FA72D6"/>
    <w:rsid w:val="00FB3AD9"/>
    <w:rsid w:val="00FB783A"/>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rsid w:val="00C608FE"/>
    <w:rPr>
      <w:rFonts w:ascii="Verdana" w:hAnsi="Verdana"/>
      <w:sz w:val="20"/>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531A3A"/>
    <w:rPr>
      <w:rFonts w:ascii="Verdana" w:hAnsi="Verdana" w:cs="Times New Roman"/>
      <w:sz w:val="24"/>
      <w:szCs w:val="24"/>
      <w:lang w:val="en-GB"/>
    </w:rPr>
  </w:style>
  <w:style w:type="table" w:styleId="TableGrid">
    <w:name w:val="Table Grid"/>
    <w:basedOn w:val="TableNormal"/>
    <w:uiPriority w:val="99"/>
    <w:rsid w:val="00531A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31A3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1A3A"/>
    <w:rPr>
      <w:rFonts w:ascii="Tahoma" w:hAnsi="Tahoma" w:cs="Tahoma"/>
      <w:sz w:val="16"/>
      <w:szCs w:val="16"/>
      <w:lang w:val="en-GB"/>
    </w:rPr>
  </w:style>
  <w:style w:type="character" w:styleId="FootnoteReference">
    <w:name w:val="footnote reference"/>
    <w:basedOn w:val="DefaultParagraphFont"/>
    <w:uiPriority w:val="99"/>
    <w:semiHidden/>
    <w:rsid w:val="00531A3A"/>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531A3A"/>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531A3A"/>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340206362">
      <w:bodyDiv w:val="1"/>
      <w:marLeft w:val="0"/>
      <w:marRight w:val="0"/>
      <w:marTop w:val="0"/>
      <w:marBottom w:val="0"/>
      <w:divBdr>
        <w:top w:val="none" w:sz="0" w:space="0" w:color="auto"/>
        <w:left w:val="none" w:sz="0" w:space="0" w:color="auto"/>
        <w:bottom w:val="none" w:sz="0" w:space="0" w:color="auto"/>
        <w:right w:val="none" w:sz="0" w:space="0" w:color="auto"/>
      </w:divBdr>
    </w:div>
    <w:div w:id="466432536">
      <w:marLeft w:val="0"/>
      <w:marRight w:val="0"/>
      <w:marTop w:val="0"/>
      <w:marBottom w:val="0"/>
      <w:divBdr>
        <w:top w:val="none" w:sz="0" w:space="0" w:color="auto"/>
        <w:left w:val="none" w:sz="0" w:space="0" w:color="auto"/>
        <w:bottom w:val="none" w:sz="0" w:space="0" w:color="auto"/>
        <w:right w:val="none" w:sz="0" w:space="0" w:color="auto"/>
      </w:divBdr>
    </w:div>
    <w:div w:id="466432537">
      <w:marLeft w:val="0"/>
      <w:marRight w:val="0"/>
      <w:marTop w:val="0"/>
      <w:marBottom w:val="0"/>
      <w:divBdr>
        <w:top w:val="none" w:sz="0" w:space="0" w:color="auto"/>
        <w:left w:val="none" w:sz="0" w:space="0" w:color="auto"/>
        <w:bottom w:val="none" w:sz="0" w:space="0" w:color="auto"/>
        <w:right w:val="none" w:sz="0" w:space="0" w:color="auto"/>
      </w:divBdr>
    </w:div>
    <w:div w:id="466432538">
      <w:marLeft w:val="0"/>
      <w:marRight w:val="0"/>
      <w:marTop w:val="0"/>
      <w:marBottom w:val="0"/>
      <w:divBdr>
        <w:top w:val="none" w:sz="0" w:space="0" w:color="auto"/>
        <w:left w:val="none" w:sz="0" w:space="0" w:color="auto"/>
        <w:bottom w:val="none" w:sz="0" w:space="0" w:color="auto"/>
        <w:right w:val="none" w:sz="0" w:space="0" w:color="auto"/>
      </w:divBdr>
    </w:div>
    <w:div w:id="466432541">
      <w:marLeft w:val="0"/>
      <w:marRight w:val="0"/>
      <w:marTop w:val="0"/>
      <w:marBottom w:val="0"/>
      <w:divBdr>
        <w:top w:val="none" w:sz="0" w:space="0" w:color="auto"/>
        <w:left w:val="none" w:sz="0" w:space="0" w:color="auto"/>
        <w:bottom w:val="none" w:sz="0" w:space="0" w:color="auto"/>
        <w:right w:val="none" w:sz="0" w:space="0" w:color="auto"/>
      </w:divBdr>
      <w:divsChild>
        <w:div w:id="466432535">
          <w:marLeft w:val="1123"/>
          <w:marRight w:val="0"/>
          <w:marTop w:val="0"/>
          <w:marBottom w:val="0"/>
          <w:divBdr>
            <w:top w:val="none" w:sz="0" w:space="0" w:color="auto"/>
            <w:left w:val="none" w:sz="0" w:space="0" w:color="auto"/>
            <w:bottom w:val="none" w:sz="0" w:space="0" w:color="auto"/>
            <w:right w:val="none" w:sz="0" w:space="0" w:color="auto"/>
          </w:divBdr>
        </w:div>
        <w:div w:id="466432539">
          <w:marLeft w:val="1123"/>
          <w:marRight w:val="0"/>
          <w:marTop w:val="0"/>
          <w:marBottom w:val="0"/>
          <w:divBdr>
            <w:top w:val="none" w:sz="0" w:space="0" w:color="auto"/>
            <w:left w:val="none" w:sz="0" w:space="0" w:color="auto"/>
            <w:bottom w:val="none" w:sz="0" w:space="0" w:color="auto"/>
            <w:right w:val="none" w:sz="0" w:space="0" w:color="auto"/>
          </w:divBdr>
        </w:div>
        <w:div w:id="466432540">
          <w:marLeft w:val="1123"/>
          <w:marRight w:val="0"/>
          <w:marTop w:val="0"/>
          <w:marBottom w:val="0"/>
          <w:divBdr>
            <w:top w:val="none" w:sz="0" w:space="0" w:color="auto"/>
            <w:left w:val="none" w:sz="0" w:space="0" w:color="auto"/>
            <w:bottom w:val="none" w:sz="0" w:space="0" w:color="auto"/>
            <w:right w:val="none" w:sz="0" w:space="0" w:color="auto"/>
          </w:divBdr>
        </w:div>
        <w:div w:id="466432545">
          <w:marLeft w:val="1123"/>
          <w:marRight w:val="0"/>
          <w:marTop w:val="0"/>
          <w:marBottom w:val="0"/>
          <w:divBdr>
            <w:top w:val="none" w:sz="0" w:space="0" w:color="auto"/>
            <w:left w:val="none" w:sz="0" w:space="0" w:color="auto"/>
            <w:bottom w:val="none" w:sz="0" w:space="0" w:color="auto"/>
            <w:right w:val="none" w:sz="0" w:space="0" w:color="auto"/>
          </w:divBdr>
        </w:div>
        <w:div w:id="466432548">
          <w:marLeft w:val="1123"/>
          <w:marRight w:val="0"/>
          <w:marTop w:val="0"/>
          <w:marBottom w:val="0"/>
          <w:divBdr>
            <w:top w:val="none" w:sz="0" w:space="0" w:color="auto"/>
            <w:left w:val="none" w:sz="0" w:space="0" w:color="auto"/>
            <w:bottom w:val="none" w:sz="0" w:space="0" w:color="auto"/>
            <w:right w:val="none" w:sz="0" w:space="0" w:color="auto"/>
          </w:divBdr>
        </w:div>
        <w:div w:id="466432551">
          <w:marLeft w:val="1123"/>
          <w:marRight w:val="0"/>
          <w:marTop w:val="0"/>
          <w:marBottom w:val="0"/>
          <w:divBdr>
            <w:top w:val="none" w:sz="0" w:space="0" w:color="auto"/>
            <w:left w:val="none" w:sz="0" w:space="0" w:color="auto"/>
            <w:bottom w:val="none" w:sz="0" w:space="0" w:color="auto"/>
            <w:right w:val="none" w:sz="0" w:space="0" w:color="auto"/>
          </w:divBdr>
        </w:div>
        <w:div w:id="466432552">
          <w:marLeft w:val="1123"/>
          <w:marRight w:val="0"/>
          <w:marTop w:val="0"/>
          <w:marBottom w:val="0"/>
          <w:divBdr>
            <w:top w:val="none" w:sz="0" w:space="0" w:color="auto"/>
            <w:left w:val="none" w:sz="0" w:space="0" w:color="auto"/>
            <w:bottom w:val="none" w:sz="0" w:space="0" w:color="auto"/>
            <w:right w:val="none" w:sz="0" w:space="0" w:color="auto"/>
          </w:divBdr>
        </w:div>
      </w:divsChild>
    </w:div>
    <w:div w:id="466432542">
      <w:marLeft w:val="0"/>
      <w:marRight w:val="0"/>
      <w:marTop w:val="0"/>
      <w:marBottom w:val="0"/>
      <w:divBdr>
        <w:top w:val="none" w:sz="0" w:space="0" w:color="auto"/>
        <w:left w:val="none" w:sz="0" w:space="0" w:color="auto"/>
        <w:bottom w:val="none" w:sz="0" w:space="0" w:color="auto"/>
        <w:right w:val="none" w:sz="0" w:space="0" w:color="auto"/>
      </w:divBdr>
    </w:div>
    <w:div w:id="466432543">
      <w:marLeft w:val="0"/>
      <w:marRight w:val="0"/>
      <w:marTop w:val="0"/>
      <w:marBottom w:val="0"/>
      <w:divBdr>
        <w:top w:val="none" w:sz="0" w:space="0" w:color="auto"/>
        <w:left w:val="none" w:sz="0" w:space="0" w:color="auto"/>
        <w:bottom w:val="none" w:sz="0" w:space="0" w:color="auto"/>
        <w:right w:val="none" w:sz="0" w:space="0" w:color="auto"/>
      </w:divBdr>
    </w:div>
    <w:div w:id="466432544">
      <w:marLeft w:val="0"/>
      <w:marRight w:val="0"/>
      <w:marTop w:val="0"/>
      <w:marBottom w:val="0"/>
      <w:divBdr>
        <w:top w:val="none" w:sz="0" w:space="0" w:color="auto"/>
        <w:left w:val="none" w:sz="0" w:space="0" w:color="auto"/>
        <w:bottom w:val="none" w:sz="0" w:space="0" w:color="auto"/>
        <w:right w:val="none" w:sz="0" w:space="0" w:color="auto"/>
      </w:divBdr>
    </w:div>
    <w:div w:id="466432546">
      <w:marLeft w:val="0"/>
      <w:marRight w:val="0"/>
      <w:marTop w:val="0"/>
      <w:marBottom w:val="0"/>
      <w:divBdr>
        <w:top w:val="none" w:sz="0" w:space="0" w:color="auto"/>
        <w:left w:val="none" w:sz="0" w:space="0" w:color="auto"/>
        <w:bottom w:val="none" w:sz="0" w:space="0" w:color="auto"/>
        <w:right w:val="none" w:sz="0" w:space="0" w:color="auto"/>
      </w:divBdr>
    </w:div>
    <w:div w:id="466432547">
      <w:marLeft w:val="0"/>
      <w:marRight w:val="0"/>
      <w:marTop w:val="0"/>
      <w:marBottom w:val="0"/>
      <w:divBdr>
        <w:top w:val="none" w:sz="0" w:space="0" w:color="auto"/>
        <w:left w:val="none" w:sz="0" w:space="0" w:color="auto"/>
        <w:bottom w:val="none" w:sz="0" w:space="0" w:color="auto"/>
        <w:right w:val="none" w:sz="0" w:space="0" w:color="auto"/>
      </w:divBdr>
    </w:div>
    <w:div w:id="466432549">
      <w:marLeft w:val="0"/>
      <w:marRight w:val="0"/>
      <w:marTop w:val="0"/>
      <w:marBottom w:val="0"/>
      <w:divBdr>
        <w:top w:val="none" w:sz="0" w:space="0" w:color="auto"/>
        <w:left w:val="none" w:sz="0" w:space="0" w:color="auto"/>
        <w:bottom w:val="none" w:sz="0" w:space="0" w:color="auto"/>
        <w:right w:val="none" w:sz="0" w:space="0" w:color="auto"/>
      </w:divBdr>
    </w:div>
    <w:div w:id="466432550">
      <w:marLeft w:val="0"/>
      <w:marRight w:val="0"/>
      <w:marTop w:val="0"/>
      <w:marBottom w:val="0"/>
      <w:divBdr>
        <w:top w:val="none" w:sz="0" w:space="0" w:color="auto"/>
        <w:left w:val="none" w:sz="0" w:space="0" w:color="auto"/>
        <w:bottom w:val="none" w:sz="0" w:space="0" w:color="auto"/>
        <w:right w:val="none" w:sz="0" w:space="0" w:color="auto"/>
      </w:divBdr>
    </w:div>
    <w:div w:id="536238899">
      <w:bodyDiv w:val="1"/>
      <w:marLeft w:val="0"/>
      <w:marRight w:val="0"/>
      <w:marTop w:val="0"/>
      <w:marBottom w:val="0"/>
      <w:divBdr>
        <w:top w:val="none" w:sz="0" w:space="0" w:color="auto"/>
        <w:left w:val="none" w:sz="0" w:space="0" w:color="auto"/>
        <w:bottom w:val="none" w:sz="0" w:space="0" w:color="auto"/>
        <w:right w:val="none" w:sz="0" w:space="0" w:color="auto"/>
      </w:divBdr>
    </w:div>
    <w:div w:id="64134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pp.eurostat.ec.europa.eu/portal/page/portal/eurostat/hom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espon.eu/main/Menu_Project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3063</Words>
  <Characters>17464</Characters>
  <Application>Microsoft Office Word</Application>
  <DocSecurity>0</DocSecurity>
  <Lines>145</Lines>
  <Paragraphs>40</Paragraphs>
  <ScaleCrop>false</ScaleCrop>
  <Company>crp Henri Tudor</Company>
  <LinksUpToDate>false</LinksUpToDate>
  <CharactersWithSpaces>20487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17</cp:revision>
  <cp:lastPrinted>2012-11-10T15:56:00Z</cp:lastPrinted>
  <dcterms:created xsi:type="dcterms:W3CDTF">2012-11-20T10:56:00Z</dcterms:created>
  <dcterms:modified xsi:type="dcterms:W3CDTF">2012-11-27T13:04:00Z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