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4CF" w:rsidRDefault="000914CF" w:rsidP="00BC65E1"/>
    <w:p w:rsidR="000914CF" w:rsidRDefault="000914CF" w:rsidP="00BC65E1"/>
    <w:p w:rsidR="000914CF" w:rsidRDefault="000914CF" w:rsidP="00BC65E1"/>
    <w:p w:rsidR="000914CF" w:rsidRDefault="000914CF" w:rsidP="00BC65E1">
      <w:pPr>
        <w:jc w:val="center"/>
        <w:rPr>
          <w:rFonts w:ascii="Arial" w:hAnsi="Arial" w:cs="Arial"/>
          <w:sz w:val="32"/>
          <w:szCs w:val="32"/>
          <w:lang w:val="en-US"/>
        </w:rPr>
      </w:pPr>
    </w:p>
    <w:p w:rsidR="000914CF" w:rsidRDefault="000914CF" w:rsidP="00BC65E1">
      <w:pPr>
        <w:jc w:val="center"/>
        <w:rPr>
          <w:rFonts w:ascii="Arial" w:hAnsi="Arial" w:cs="Arial"/>
          <w:sz w:val="32"/>
          <w:szCs w:val="32"/>
          <w:lang w:val="en-US"/>
        </w:rPr>
      </w:pPr>
    </w:p>
    <w:p w:rsidR="000914CF" w:rsidRDefault="000914CF" w:rsidP="00BC65E1">
      <w:pPr>
        <w:spacing w:after="0" w:line="240" w:lineRule="auto"/>
        <w:jc w:val="center"/>
        <w:rPr>
          <w:rFonts w:ascii="Arial" w:hAnsi="Arial" w:cs="Arial"/>
          <w:sz w:val="32"/>
          <w:szCs w:val="32"/>
          <w:lang w:val="en-US"/>
        </w:rPr>
      </w:pPr>
    </w:p>
    <w:p w:rsidR="000914CF" w:rsidRDefault="000914CF" w:rsidP="00BC65E1">
      <w:pPr>
        <w:spacing w:after="0" w:line="240" w:lineRule="auto"/>
        <w:jc w:val="center"/>
        <w:rPr>
          <w:rFonts w:ascii="Arial" w:hAnsi="Arial" w:cs="Arial"/>
          <w:sz w:val="32"/>
          <w:szCs w:val="32"/>
          <w:lang w:val="en-US"/>
        </w:rPr>
      </w:pPr>
    </w:p>
    <w:p w:rsidR="000914CF" w:rsidRDefault="000914CF" w:rsidP="00BC65E1">
      <w:pPr>
        <w:spacing w:after="0" w:line="240" w:lineRule="auto"/>
        <w:jc w:val="center"/>
        <w:rPr>
          <w:rFonts w:ascii="Arial" w:hAnsi="Arial" w:cs="Arial"/>
          <w:sz w:val="32"/>
          <w:szCs w:val="32"/>
          <w:lang w:val="en-US"/>
        </w:rPr>
      </w:pPr>
    </w:p>
    <w:p w:rsidR="000914CF" w:rsidRDefault="000914CF" w:rsidP="00BC65E1">
      <w:pPr>
        <w:spacing w:after="0" w:line="240" w:lineRule="auto"/>
        <w:jc w:val="center"/>
        <w:rPr>
          <w:rFonts w:ascii="Arial" w:hAnsi="Arial" w:cs="Arial"/>
          <w:sz w:val="32"/>
          <w:szCs w:val="32"/>
          <w:lang w:val="en-US"/>
        </w:rPr>
      </w:pPr>
    </w:p>
    <w:p w:rsidR="000914CF" w:rsidRDefault="000914CF" w:rsidP="00FC5035">
      <w:pPr>
        <w:spacing w:after="0" w:line="240" w:lineRule="auto"/>
        <w:rPr>
          <w:rFonts w:ascii="Arial" w:hAnsi="Arial" w:cs="Arial"/>
          <w:sz w:val="32"/>
          <w:szCs w:val="32"/>
          <w:lang w:val="en-US"/>
        </w:rPr>
      </w:pPr>
    </w:p>
    <w:p w:rsidR="000914CF" w:rsidRPr="00416B9D" w:rsidRDefault="000914CF" w:rsidP="000D3299">
      <w:pPr>
        <w:spacing w:line="240" w:lineRule="auto"/>
        <w:ind w:left="-851"/>
        <w:jc w:val="center"/>
        <w:rPr>
          <w:rFonts w:ascii="Arial" w:hAnsi="Arial" w:cs="Arial"/>
          <w:sz w:val="40"/>
          <w:szCs w:val="40"/>
          <w:lang w:val="en-US"/>
        </w:rPr>
      </w:pPr>
      <w:r w:rsidRPr="00416B9D">
        <w:rPr>
          <w:rFonts w:ascii="Arial" w:hAnsi="Arial" w:cs="Arial"/>
          <w:sz w:val="40"/>
          <w:szCs w:val="40"/>
          <w:lang w:val="en-US"/>
        </w:rPr>
        <w:t>Greece – Italy</w:t>
      </w:r>
    </w:p>
    <w:p w:rsidR="000914CF" w:rsidRDefault="00914E73"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43600" cy="4856480"/>
            <wp:effectExtent l="2540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7" cstate="print"/>
                    <a:srcRect/>
                    <a:stretch>
                      <a:fillRect/>
                    </a:stretch>
                  </pic:blipFill>
                  <pic:spPr bwMode="auto">
                    <a:xfrm>
                      <a:off x="0" y="0"/>
                      <a:ext cx="5943600" cy="4856480"/>
                    </a:xfrm>
                    <a:prstGeom prst="rect">
                      <a:avLst/>
                    </a:prstGeom>
                    <a:noFill/>
                    <a:ln w="9525">
                      <a:noFill/>
                      <a:miter lim="800000"/>
                      <a:headEnd/>
                      <a:tailEnd/>
                    </a:ln>
                  </pic:spPr>
                </pic:pic>
              </a:graphicData>
            </a:graphic>
          </wp:inline>
        </w:drawing>
      </w:r>
    </w:p>
    <w:p w:rsidR="000914CF" w:rsidRDefault="000914CF" w:rsidP="00337519">
      <w:pPr>
        <w:spacing w:after="0" w:line="240" w:lineRule="auto"/>
        <w:ind w:left="-851"/>
        <w:jc w:val="center"/>
        <w:rPr>
          <w:rFonts w:ascii="Arial" w:hAnsi="Arial" w:cs="Arial"/>
          <w:sz w:val="32"/>
          <w:szCs w:val="32"/>
          <w:lang w:val="en-US"/>
        </w:rPr>
      </w:pPr>
    </w:p>
    <w:p w:rsidR="00416B9D" w:rsidRDefault="00416B9D" w:rsidP="00416B9D">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416B9D" w:rsidRDefault="00416B9D" w:rsidP="00416B9D">
      <w:pPr>
        <w:spacing w:after="0" w:line="240" w:lineRule="auto"/>
        <w:ind w:left="-851"/>
        <w:jc w:val="center"/>
        <w:rPr>
          <w:rFonts w:ascii="Arial" w:hAnsi="Arial" w:cs="Arial"/>
        </w:rPr>
      </w:pPr>
      <w:r>
        <w:rPr>
          <w:rFonts w:ascii="Arial" w:hAnsi="Arial" w:cs="Arial"/>
          <w:sz w:val="32"/>
          <w:szCs w:val="32"/>
          <w:lang w:val="en-US"/>
        </w:rPr>
        <w:t>November 2012</w:t>
      </w:r>
    </w:p>
    <w:p w:rsidR="000914CF" w:rsidRPr="00127102" w:rsidRDefault="000914CF" w:rsidP="00BC65E1">
      <w:pPr>
        <w:pStyle w:val="ESPONColophon"/>
        <w:ind w:left="810"/>
        <w:rPr>
          <w:rFonts w:ascii="Arial" w:hAnsi="Arial" w:cs="Arial"/>
        </w:rPr>
      </w:pPr>
    </w:p>
    <w:p w:rsidR="000914CF" w:rsidRPr="00127102" w:rsidRDefault="000914CF" w:rsidP="00BC65E1">
      <w:pPr>
        <w:pStyle w:val="ESPONColophon"/>
        <w:ind w:left="810"/>
        <w:rPr>
          <w:rFonts w:ascii="Arial" w:hAnsi="Arial" w:cs="Arial"/>
        </w:rPr>
        <w:sectPr w:rsidR="000914CF" w:rsidRPr="00127102">
          <w:headerReference w:type="default" r:id="rId8"/>
          <w:footerReference w:type="even" r:id="rId9"/>
          <w:footerReference w:type="default" r:id="rId10"/>
          <w:pgSz w:w="11906" w:h="16838"/>
          <w:pgMar w:top="0" w:right="851" w:bottom="1644" w:left="1701" w:header="708" w:footer="708" w:gutter="0"/>
          <w:cols w:space="708"/>
        </w:sectPr>
      </w:pPr>
    </w:p>
    <w:p w:rsidR="000914CF" w:rsidRPr="006955F2" w:rsidRDefault="000914CF" w:rsidP="00133602">
      <w:pPr>
        <w:pStyle w:val="Heading1"/>
        <w:numPr>
          <w:ilvl w:val="0"/>
          <w:numId w:val="0"/>
        </w:numPr>
        <w:ind w:left="432" w:hanging="432"/>
      </w:pPr>
      <w:r>
        <w:lastRenderedPageBreak/>
        <w:t>Introduction</w:t>
      </w:r>
    </w:p>
    <w:p w:rsidR="000914CF" w:rsidRDefault="000914CF"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0914CF" w:rsidRDefault="000914CF" w:rsidP="000A647A">
      <w:r>
        <w:t xml:space="preserve">The ESPON TERREVI project focuses on producing evidence for Structural Funds programmes with the aim to support the development of the programmes to be carried out in the 2014-2020 period. </w:t>
      </w:r>
    </w:p>
    <w:p w:rsidR="000914CF" w:rsidRDefault="000914CF"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0914CF" w:rsidRPr="007456E2" w:rsidRDefault="000914CF"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D34A3A" w:rsidRPr="0085195F" w:rsidRDefault="000914CF" w:rsidP="00D34A3A">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D34A3A" w:rsidRPr="0085195F">
        <w:t>This is intended as an electronic publication so map quality is generally high to allow users to zoom into specific territories.</w:t>
      </w:r>
    </w:p>
    <w:p w:rsidR="000914CF" w:rsidRDefault="00D34A3A" w:rsidP="00A265BE">
      <w:pPr>
        <w:shd w:val="clear" w:color="auto" w:fill="FFFFFF"/>
      </w:pPr>
      <w:r w:rsidRPr="0085195F">
        <w:t>This factsheet does not necessarily reflect the opinion of the ESPON Monitoring Committee.</w:t>
      </w:r>
    </w:p>
    <w:p w:rsidR="000914CF" w:rsidRDefault="000914CF" w:rsidP="00BA161A">
      <w:pPr>
        <w:pStyle w:val="Heading1"/>
      </w:pPr>
      <w:r>
        <w:t xml:space="preserve">Europe 2020 </w:t>
      </w:r>
    </w:p>
    <w:p w:rsidR="000914CF" w:rsidRDefault="000914CF"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0914CF" w:rsidRDefault="000914CF"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0914CF" w:rsidRDefault="000914CF"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0914CF" w:rsidRDefault="000914CF"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9B7A1B" w:rsidRDefault="009B7A1B" w:rsidP="009B7A1B">
      <w:r>
        <w:t>In the following the traffic light for each indicator represents how your programme territory compares to wider European and national medians where green = your programme area performs better for that indicator, yel</w:t>
      </w:r>
      <w:r w:rsidR="00D34A3A">
        <w:t>low = similar, and red = worse.</w:t>
      </w:r>
    </w:p>
    <w:p w:rsidR="00A4012E" w:rsidRDefault="00A4012E" w:rsidP="00A4012E">
      <w:r>
        <w:t>In creating the traffic</w:t>
      </w:r>
      <w:r w:rsidR="009B7A1B">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485FC6" w:rsidRPr="00973E76" w:rsidRDefault="00485FC6" w:rsidP="00485FC6">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0914CF" w:rsidRDefault="000914CF" w:rsidP="00337872">
      <w:pPr>
        <w:pStyle w:val="Heading3"/>
      </w:pPr>
      <w:r w:rsidRPr="00CD7D5F">
        <w:t>Smart growth</w:t>
      </w:r>
      <w:r w:rsidRPr="00337872">
        <w:t xml:space="preserve"> </w:t>
      </w:r>
    </w:p>
    <w:p w:rsidR="000914CF" w:rsidRDefault="000914CF" w:rsidP="00C33A99">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EB70FA" w:rsidRDefault="00EB70FA" w:rsidP="00C33A99">
      <w:r>
        <w:rPr>
          <w:noProof/>
          <w:lang w:val="en-US"/>
        </w:rPr>
        <w:drawing>
          <wp:anchor distT="0" distB="0" distL="114300" distR="114300" simplePos="0" relativeHeight="251667456" behindDoc="1" locked="0" layoutInCell="1" allowOverlap="1">
            <wp:simplePos x="0" y="0"/>
            <wp:positionH relativeFrom="column">
              <wp:posOffset>-29845</wp:posOffset>
            </wp:positionH>
            <wp:positionV relativeFrom="paragraph">
              <wp:posOffset>27305</wp:posOffset>
            </wp:positionV>
            <wp:extent cx="5276850" cy="2671445"/>
            <wp:effectExtent l="19050" t="0" r="0" b="0"/>
            <wp:wrapTight wrapText="bothSides">
              <wp:wrapPolygon edited="0">
                <wp:start x="-78" y="0"/>
                <wp:lineTo x="-78" y="21410"/>
                <wp:lineTo x="21600" y="21410"/>
                <wp:lineTo x="21600" y="0"/>
                <wp:lineTo x="-78" y="0"/>
              </wp:wrapPolygon>
            </wp:wrapTight>
            <wp:docPr id="1" name="Bild 1" descr="P:\LU_2011_ESPON_TerrEvi_100269\03_Project development\WorkinProgress_FactSheets\TL_CBC2\CBC Programme Greece_Ital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TL_CBC2\CBC Programme Greece_Italy 1.png"/>
                    <pic:cNvPicPr>
                      <a:picLocks noChangeAspect="1" noChangeArrowheads="1"/>
                    </pic:cNvPicPr>
                  </pic:nvPicPr>
                  <pic:blipFill>
                    <a:blip r:embed="rId11" cstate="print"/>
                    <a:srcRect/>
                    <a:stretch>
                      <a:fillRect/>
                    </a:stretch>
                  </pic:blipFill>
                  <pic:spPr bwMode="auto">
                    <a:xfrm>
                      <a:off x="0" y="0"/>
                      <a:ext cx="5276850" cy="2671445"/>
                    </a:xfrm>
                    <a:prstGeom prst="rect">
                      <a:avLst/>
                    </a:prstGeom>
                    <a:noFill/>
                    <a:ln w="9525">
                      <a:noFill/>
                      <a:miter lim="800000"/>
                      <a:headEnd/>
                      <a:tailEnd/>
                    </a:ln>
                  </pic:spPr>
                </pic:pic>
              </a:graphicData>
            </a:graphic>
          </wp:anchor>
        </w:drawing>
      </w:r>
    </w:p>
    <w:p w:rsidR="00CD7D5F" w:rsidRPr="00B92990" w:rsidRDefault="00CD7D5F" w:rsidP="00CD7D5F">
      <w:pPr>
        <w:spacing w:before="120"/>
      </w:pPr>
      <w:r w:rsidRPr="00FA1FCB">
        <w:t xml:space="preserve">According to all indicators reported above, the Greece-Italy CBC area performs at a lower level than the EU27+4 space and all CBC ones. Considering the objective of R&amp;D expenditure of  percentage of the GDP - one of the five headline targets in the Europe 2020 Strategy - the CBC area is still lagging behind the EU27+4 space </w:t>
      </w:r>
      <w:r w:rsidRPr="00FA1FCB">
        <w:lastRenderedPageBreak/>
        <w:t>and all CBC. Moreo</w:t>
      </w:r>
      <w:r>
        <w:t>ver, Greece-Italy is characteris</w:t>
      </w:r>
      <w:r w:rsidRPr="00FA1FCB">
        <w:t>ed by a high level of internal disparity</w:t>
      </w:r>
      <w:r>
        <w:t xml:space="preserve"> and performs</w:t>
      </w:r>
      <w:r w:rsidRPr="00FA1FCB">
        <w:t xml:space="preserve"> better than Greece and worse than Italy.</w:t>
      </w:r>
      <w:r>
        <w:t xml:space="preserve">  </w:t>
      </w:r>
    </w:p>
    <w:p w:rsidR="00CD7D5F" w:rsidRPr="00FA1FCB" w:rsidRDefault="00CD7D5F" w:rsidP="00CD7D5F">
      <w:r w:rsidRPr="00B92990">
        <w:t xml:space="preserve">Concerning the ratio of employment in knowledge-intensive service to the total </w:t>
      </w:r>
      <w:r w:rsidRPr="00FA1FCB">
        <w:t xml:space="preserve">employment in 2010, the CBC area has lower values than EU27+4 space, all CBCs and Italy; similar to Greece. The distribution inside the CBC results in a low level of internal disparity. </w:t>
      </w:r>
    </w:p>
    <w:p w:rsidR="00CD7D5F" w:rsidRPr="00B92990" w:rsidRDefault="00CD7D5F" w:rsidP="00CD7D5F">
      <w:r w:rsidRPr="00FA1FCB">
        <w:t>In terms of the percentage of individuals regularly using internet in 2011, the CBC has lower values than EU27+4 space, all CBCs, Italy and Greece, with a low internal disparity.</w:t>
      </w:r>
    </w:p>
    <w:p w:rsidR="000B7618" w:rsidRPr="00B92990" w:rsidRDefault="000B7618" w:rsidP="000B7618">
      <w:r>
        <w:t>According to</w:t>
      </w:r>
      <w:r w:rsidRPr="00B92990">
        <w:t xml:space="preserve"> the </w:t>
      </w:r>
      <w:r>
        <w:t>classification o</w:t>
      </w:r>
      <w:r w:rsidRPr="00B92990">
        <w:t xml:space="preserve">f the KIT project, </w:t>
      </w:r>
      <w:r>
        <w:t>MAP 1</w:t>
      </w:r>
      <w:r w:rsidRPr="00B92990">
        <w:t xml:space="preserve"> identifies two territorial patterns of innovation, which are moreover keeping up with national borders: </w:t>
      </w:r>
    </w:p>
    <w:p w:rsidR="000B7618" w:rsidRPr="00CD7D5F" w:rsidRDefault="000B7618" w:rsidP="000B7618">
      <w:pPr>
        <w:pStyle w:val="ListParagraph"/>
        <w:numPr>
          <w:ilvl w:val="0"/>
          <w:numId w:val="14"/>
        </w:numPr>
        <w:spacing w:line="240" w:lineRule="atLeast"/>
        <w:rPr>
          <w:szCs w:val="20"/>
        </w:rPr>
      </w:pPr>
      <w:r w:rsidRPr="001A612A">
        <w:rPr>
          <w:rFonts w:cstheme="minorHAnsi"/>
          <w:szCs w:val="20"/>
        </w:rPr>
        <w:t>‘Creative imitation area’,</w:t>
      </w:r>
      <w:r>
        <w:rPr>
          <w:rFonts w:cstheme="minorHAnsi"/>
          <w:szCs w:val="20"/>
        </w:rPr>
        <w:t xml:space="preserve"> in the</w:t>
      </w:r>
      <w:r w:rsidRPr="001A612A">
        <w:rPr>
          <w:rFonts w:cstheme="minorHAnsi"/>
          <w:szCs w:val="20"/>
        </w:rPr>
        <w:t xml:space="preserve"> </w:t>
      </w:r>
      <w:r>
        <w:rPr>
          <w:rFonts w:cstheme="minorHAnsi"/>
          <w:szCs w:val="20"/>
        </w:rPr>
        <w:t>Italian</w:t>
      </w:r>
      <w:r w:rsidRPr="001A612A">
        <w:rPr>
          <w:rFonts w:cstheme="minorHAnsi"/>
          <w:szCs w:val="20"/>
        </w:rPr>
        <w:t xml:space="preserve"> </w:t>
      </w:r>
      <w:r>
        <w:rPr>
          <w:rFonts w:cstheme="minorHAnsi"/>
          <w:szCs w:val="20"/>
        </w:rPr>
        <w:t xml:space="preserve">part. It is associated </w:t>
      </w:r>
      <w:r w:rsidRPr="001A612A">
        <w:rPr>
          <w:rFonts w:cstheme="minorHAnsi"/>
          <w:szCs w:val="20"/>
        </w:rPr>
        <w:t>to a low knowledge and innovation intensity, entrepreneurship, creativity, a high attractiveness and a high innovation potential</w:t>
      </w:r>
      <w:r>
        <w:rPr>
          <w:rFonts w:cstheme="minorHAnsi"/>
          <w:szCs w:val="20"/>
        </w:rPr>
        <w:t>;</w:t>
      </w:r>
    </w:p>
    <w:p w:rsidR="000B7618" w:rsidRPr="00CD7D5F" w:rsidRDefault="000B7618" w:rsidP="000B7618">
      <w:pPr>
        <w:pStyle w:val="ListParagraph"/>
        <w:numPr>
          <w:ilvl w:val="0"/>
          <w:numId w:val="14"/>
        </w:numPr>
        <w:spacing w:line="240" w:lineRule="atLeast"/>
        <w:rPr>
          <w:szCs w:val="20"/>
        </w:rPr>
      </w:pPr>
      <w:r w:rsidRPr="00CD7D5F">
        <w:rPr>
          <w:rFonts w:cstheme="minorHAnsi"/>
          <w:szCs w:val="20"/>
        </w:rPr>
        <w:t>‘Smart technological application area’, in the Greek side. It is defined by a high product innovation level, with a limited degree of local applied science and R&amp;D endowment, and a high creativity which allows translating external basic science and applied science knowledge into innovation.</w:t>
      </w:r>
    </w:p>
    <w:p w:rsidR="000914CF" w:rsidRDefault="000914CF" w:rsidP="00C33A99"/>
    <w:p w:rsidR="000914CF" w:rsidRDefault="000914CF" w:rsidP="00C33A99"/>
    <w:p w:rsidR="000914CF" w:rsidRDefault="000914CF">
      <w:pPr>
        <w:spacing w:after="0" w:line="240" w:lineRule="auto"/>
        <w:jc w:val="left"/>
      </w:pPr>
      <w:r>
        <w:br w:type="page"/>
      </w:r>
    </w:p>
    <w:p w:rsidR="000914CF" w:rsidRPr="004C764D" w:rsidRDefault="000914CF"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Greece – Italy</w:t>
      </w:r>
    </w:p>
    <w:p w:rsidR="000914CF" w:rsidRDefault="000914CF" w:rsidP="008A3B96"/>
    <w:p w:rsidR="000914CF" w:rsidRDefault="00381695" w:rsidP="008A3B96">
      <w:pPr>
        <w:spacing w:after="0" w:line="240" w:lineRule="auto"/>
      </w:pPr>
      <w:r w:rsidRPr="00381695">
        <w:rPr>
          <w:noProof/>
          <w:lang w:val="de-DE" w:eastAsia="de-DE"/>
        </w:rPr>
        <w:pict>
          <v:oval id="_x0000_s1043" style="position:absolute;left:0;text-align:left;margin-left:219.65pt;margin-top:327.15pt;width:74.9pt;height:36pt;rotation:1793203fd;z-index:251659264" filled="f" strokecolor="#0070c0" strokeweight="2pt"/>
        </w:pict>
      </w:r>
      <w:r w:rsidR="009673A8">
        <w:rPr>
          <w:noProof/>
          <w:lang w:val="en-US"/>
        </w:rPr>
        <w:drawing>
          <wp:inline distT="0" distB="0" distL="0" distR="0">
            <wp:extent cx="5278755" cy="6291195"/>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8755" cy="6291195"/>
                    </a:xfrm>
                    <a:prstGeom prst="rect">
                      <a:avLst/>
                    </a:prstGeom>
                    <a:noFill/>
                    <a:ln w="9525">
                      <a:noFill/>
                      <a:miter lim="800000"/>
                      <a:headEnd/>
                      <a:tailEnd/>
                    </a:ln>
                  </pic:spPr>
                </pic:pic>
              </a:graphicData>
            </a:graphic>
          </wp:inline>
        </w:drawing>
      </w:r>
    </w:p>
    <w:p w:rsidR="000914CF" w:rsidRDefault="000914CF" w:rsidP="008A3B96"/>
    <w:p w:rsidR="000914CF" w:rsidRDefault="000914CF">
      <w:pPr>
        <w:spacing w:after="0" w:line="240" w:lineRule="auto"/>
        <w:jc w:val="left"/>
      </w:pPr>
      <w:r>
        <w:br w:type="page"/>
      </w:r>
    </w:p>
    <w:p w:rsidR="000914CF" w:rsidRDefault="000914CF" w:rsidP="004F26B8">
      <w:pPr>
        <w:pStyle w:val="Heading3"/>
      </w:pPr>
      <w:r w:rsidRPr="00F00D1F">
        <w:lastRenderedPageBreak/>
        <w:t>Sustainable growth</w:t>
      </w:r>
      <w:r w:rsidRPr="00337872">
        <w:t xml:space="preserve"> </w:t>
      </w:r>
    </w:p>
    <w:p w:rsidR="000914CF" w:rsidRDefault="000914CF"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t>. In the framework of the E</w:t>
      </w:r>
      <w:r w:rsidR="00F566CD">
        <w:t>urope</w:t>
      </w:r>
      <w:r>
        <w:t xml:space="preserve"> 2020 Strategy it means focus on competitiveness, resource efficiency, climate change and biodiversity.</w:t>
      </w:r>
    </w:p>
    <w:p w:rsidR="000914CF" w:rsidRDefault="00EB70FA" w:rsidP="00C00C96">
      <w:r>
        <w:rPr>
          <w:noProof/>
          <w:lang w:val="en-US"/>
        </w:rPr>
        <w:drawing>
          <wp:anchor distT="0" distB="0" distL="114300" distR="114300" simplePos="0" relativeHeight="251668480" behindDoc="1" locked="0" layoutInCell="1" allowOverlap="1">
            <wp:simplePos x="0" y="0"/>
            <wp:positionH relativeFrom="column">
              <wp:posOffset>17780</wp:posOffset>
            </wp:positionH>
            <wp:positionV relativeFrom="paragraph">
              <wp:posOffset>12700</wp:posOffset>
            </wp:positionV>
            <wp:extent cx="5276850" cy="2956560"/>
            <wp:effectExtent l="19050" t="0" r="0" b="0"/>
            <wp:wrapTight wrapText="bothSides">
              <wp:wrapPolygon edited="0">
                <wp:start x="-78" y="0"/>
                <wp:lineTo x="-78" y="21433"/>
                <wp:lineTo x="21600" y="21433"/>
                <wp:lineTo x="21600" y="0"/>
                <wp:lineTo x="-78" y="0"/>
              </wp:wrapPolygon>
            </wp:wrapTight>
            <wp:docPr id="3" name="Bild 2" descr="P:\LU_2011_ESPON_TerrEvi_100269\03_Project development\WorkinProgress_FactSheets\TL_CBC2\CBC Programme Greece_Ital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TL_CBC2\CBC Programme Greece_Italy 2.png"/>
                    <pic:cNvPicPr>
                      <a:picLocks noChangeAspect="1" noChangeArrowheads="1"/>
                    </pic:cNvPicPr>
                  </pic:nvPicPr>
                  <pic:blipFill>
                    <a:blip r:embed="rId13" cstate="print"/>
                    <a:srcRect/>
                    <a:stretch>
                      <a:fillRect/>
                    </a:stretch>
                  </pic:blipFill>
                  <pic:spPr bwMode="auto">
                    <a:xfrm>
                      <a:off x="0" y="0"/>
                      <a:ext cx="5276850" cy="2956560"/>
                    </a:xfrm>
                    <a:prstGeom prst="rect">
                      <a:avLst/>
                    </a:prstGeom>
                    <a:noFill/>
                    <a:ln w="9525">
                      <a:noFill/>
                      <a:miter lim="800000"/>
                      <a:headEnd/>
                      <a:tailEnd/>
                    </a:ln>
                  </pic:spPr>
                </pic:pic>
              </a:graphicData>
            </a:graphic>
          </wp:anchor>
        </w:drawing>
      </w:r>
    </w:p>
    <w:p w:rsidR="000914CF" w:rsidRDefault="00027429" w:rsidP="00247DCC">
      <w:pPr>
        <w:rPr>
          <w:szCs w:val="20"/>
        </w:rPr>
      </w:pPr>
      <w:r>
        <w:rPr>
          <w:szCs w:val="20"/>
        </w:rPr>
        <w:t>The w</w:t>
      </w:r>
      <w:r w:rsidR="000914CF" w:rsidRPr="009C7E22">
        <w:rPr>
          <w:szCs w:val="20"/>
        </w:rPr>
        <w:t xml:space="preserve">ind energy potential of the </w:t>
      </w:r>
      <w:r w:rsidR="000914CF">
        <w:rPr>
          <w:szCs w:val="20"/>
        </w:rPr>
        <w:t>Greece</w:t>
      </w:r>
      <w:r w:rsidR="000914CF" w:rsidRPr="009C7E22">
        <w:rPr>
          <w:szCs w:val="20"/>
        </w:rPr>
        <w:t>-Italy CBC region is highly limi</w:t>
      </w:r>
      <w:r w:rsidR="000914CF">
        <w:rPr>
          <w:szCs w:val="20"/>
        </w:rPr>
        <w:t xml:space="preserve">ted when compared to </w:t>
      </w:r>
      <w:r w:rsidR="00F00D1F">
        <w:rPr>
          <w:szCs w:val="20"/>
        </w:rPr>
        <w:t>the level</w:t>
      </w:r>
      <w:r w:rsidR="000914CF">
        <w:rPr>
          <w:szCs w:val="20"/>
        </w:rPr>
        <w:t xml:space="preserve"> of</w:t>
      </w:r>
      <w:r w:rsidR="00F00D1F">
        <w:rPr>
          <w:szCs w:val="20"/>
        </w:rPr>
        <w:t xml:space="preserve"> the</w:t>
      </w:r>
      <w:r w:rsidR="000914CF" w:rsidRPr="009C7E22">
        <w:rPr>
          <w:szCs w:val="20"/>
        </w:rPr>
        <w:t xml:space="preserve"> EU-27+4 or all CBC area</w:t>
      </w:r>
      <w:r>
        <w:rPr>
          <w:szCs w:val="20"/>
        </w:rPr>
        <w:t>s</w:t>
      </w:r>
      <w:r w:rsidR="000914CF" w:rsidRPr="009C7E22">
        <w:rPr>
          <w:szCs w:val="20"/>
        </w:rPr>
        <w:t>, but even in the national (</w:t>
      </w:r>
      <w:r w:rsidR="000914CF">
        <w:rPr>
          <w:szCs w:val="20"/>
        </w:rPr>
        <w:t>Greek and Italian</w:t>
      </w:r>
      <w:r w:rsidR="000914CF" w:rsidRPr="009C7E22">
        <w:rPr>
          <w:szCs w:val="20"/>
        </w:rPr>
        <w:t>) contexts.</w:t>
      </w:r>
      <w:r w:rsidR="00F00D1F">
        <w:rPr>
          <w:szCs w:val="20"/>
        </w:rPr>
        <w:t xml:space="preserve"> At the same time the</w:t>
      </w:r>
      <w:r w:rsidR="000914CF">
        <w:rPr>
          <w:szCs w:val="20"/>
        </w:rPr>
        <w:t xml:space="preserve"> ozone concentration is at a </w:t>
      </w:r>
      <w:r w:rsidR="00F00D1F">
        <w:rPr>
          <w:szCs w:val="20"/>
        </w:rPr>
        <w:t xml:space="preserve">particularly </w:t>
      </w:r>
      <w:r w:rsidR="000914CF">
        <w:rPr>
          <w:szCs w:val="20"/>
        </w:rPr>
        <w:t>high level compared to</w:t>
      </w:r>
      <w:r w:rsidR="00F00D1F">
        <w:rPr>
          <w:szCs w:val="20"/>
        </w:rPr>
        <w:t xml:space="preserve"> the EU-27+4 and all CBC areas</w:t>
      </w:r>
      <w:r>
        <w:rPr>
          <w:szCs w:val="20"/>
        </w:rPr>
        <w:t>’ medians</w:t>
      </w:r>
      <w:r w:rsidR="00F00D1F">
        <w:rPr>
          <w:szCs w:val="20"/>
        </w:rPr>
        <w:t xml:space="preserve">, </w:t>
      </w:r>
      <w:r>
        <w:rPr>
          <w:szCs w:val="20"/>
        </w:rPr>
        <w:t>however,</w:t>
      </w:r>
      <w:r w:rsidR="000914CF">
        <w:rPr>
          <w:szCs w:val="20"/>
        </w:rPr>
        <w:t xml:space="preserve"> </w:t>
      </w:r>
      <w:r w:rsidR="00F00D1F">
        <w:rPr>
          <w:szCs w:val="20"/>
        </w:rPr>
        <w:t xml:space="preserve">the level is not much higher when compared to the </w:t>
      </w:r>
      <w:r w:rsidR="000914CF">
        <w:rPr>
          <w:szCs w:val="20"/>
        </w:rPr>
        <w:t xml:space="preserve">national contexts. </w:t>
      </w:r>
      <w:r w:rsidR="00CD1FB7">
        <w:rPr>
          <w:szCs w:val="20"/>
        </w:rPr>
        <w:t>In general, the</w:t>
      </w:r>
      <w:r w:rsidR="000914CF">
        <w:rPr>
          <w:szCs w:val="20"/>
        </w:rPr>
        <w:t xml:space="preserve"> CBC area is </w:t>
      </w:r>
      <w:r w:rsidR="00F00D1F">
        <w:rPr>
          <w:szCs w:val="20"/>
        </w:rPr>
        <w:t xml:space="preserve">potentially </w:t>
      </w:r>
      <w:r w:rsidR="000914CF">
        <w:rPr>
          <w:szCs w:val="20"/>
        </w:rPr>
        <w:t xml:space="preserve">more vulnerable to climate change than the EU-27+4 and all CBC </w:t>
      </w:r>
      <w:r w:rsidR="00F00D1F">
        <w:rPr>
          <w:szCs w:val="20"/>
        </w:rPr>
        <w:t>regions,</w:t>
      </w:r>
      <w:r w:rsidR="000914CF">
        <w:rPr>
          <w:szCs w:val="20"/>
        </w:rPr>
        <w:t xml:space="preserve"> but it is slightly less vulnerable when compared to Greece or to Italy.</w:t>
      </w:r>
      <w:r w:rsidR="00F00D1F">
        <w:rPr>
          <w:szCs w:val="20"/>
        </w:rPr>
        <w:t xml:space="preserve"> </w:t>
      </w:r>
      <w:r w:rsidR="00CD1FB7">
        <w:rPr>
          <w:szCs w:val="20"/>
        </w:rPr>
        <w:t xml:space="preserve">All three sustainable growth indicators are characterised by high disparities within the CBC area. </w:t>
      </w:r>
      <w:r w:rsidR="00F00D1F">
        <w:rPr>
          <w:szCs w:val="20"/>
        </w:rPr>
        <w:t xml:space="preserve">According to MAP 2 </w:t>
      </w:r>
      <w:r w:rsidR="000914CF">
        <w:rPr>
          <w:szCs w:val="20"/>
        </w:rPr>
        <w:t>Directive 11 has no impact on fossil fuel consumption in t</w:t>
      </w:r>
      <w:r w:rsidR="00F00D1F">
        <w:rPr>
          <w:szCs w:val="20"/>
        </w:rPr>
        <w:t>he CBC area of Greece-Italy</w:t>
      </w:r>
      <w:r w:rsidR="000914CF">
        <w:rPr>
          <w:szCs w:val="20"/>
        </w:rPr>
        <w:t>.</w:t>
      </w:r>
      <w:r w:rsidR="005E5F18">
        <w:rPr>
          <w:szCs w:val="20"/>
        </w:rPr>
        <w:t xml:space="preserve"> </w:t>
      </w:r>
    </w:p>
    <w:p w:rsidR="000914CF" w:rsidRDefault="000914CF" w:rsidP="00247DCC">
      <w:pPr>
        <w:rPr>
          <w:szCs w:val="20"/>
        </w:rPr>
      </w:pPr>
      <w:r>
        <w:rPr>
          <w:szCs w:val="20"/>
        </w:rPr>
        <w:t xml:space="preserve">The combined adaptive capacity to climate change of the </w:t>
      </w:r>
      <w:r w:rsidR="00CD1FB7">
        <w:rPr>
          <w:szCs w:val="20"/>
        </w:rPr>
        <w:t xml:space="preserve">Greece-Italy CBC </w:t>
      </w:r>
      <w:r>
        <w:rPr>
          <w:szCs w:val="20"/>
        </w:rPr>
        <w:t>NUTS3 regions (represented in BOX-PLOT 1) are at a very low level in the international</w:t>
      </w:r>
      <w:r w:rsidR="00F00D1F">
        <w:rPr>
          <w:szCs w:val="20"/>
        </w:rPr>
        <w:t xml:space="preserve"> context. The level of adaptive capacity is still low</w:t>
      </w:r>
      <w:r w:rsidR="00CD1FB7">
        <w:rPr>
          <w:szCs w:val="20"/>
        </w:rPr>
        <w:t>er</w:t>
      </w:r>
      <w:r w:rsidR="00F00D1F">
        <w:rPr>
          <w:szCs w:val="20"/>
        </w:rPr>
        <w:t xml:space="preserve"> </w:t>
      </w:r>
      <w:r w:rsidR="00CD1FB7">
        <w:rPr>
          <w:szCs w:val="20"/>
        </w:rPr>
        <w:t>than the relevant median value of</w:t>
      </w:r>
      <w:r w:rsidR="00F00D1F">
        <w:rPr>
          <w:szCs w:val="20"/>
        </w:rPr>
        <w:t xml:space="preserve"> Italy, </w:t>
      </w:r>
      <w:r>
        <w:rPr>
          <w:szCs w:val="20"/>
        </w:rPr>
        <w:t xml:space="preserve">but </w:t>
      </w:r>
      <w:r w:rsidR="00F00D1F">
        <w:rPr>
          <w:szCs w:val="20"/>
        </w:rPr>
        <w:t>the border-regions</w:t>
      </w:r>
      <w:r>
        <w:rPr>
          <w:szCs w:val="20"/>
        </w:rPr>
        <w:t xml:space="preserve"> </w:t>
      </w:r>
      <w:r w:rsidR="00CD1FB7">
        <w:rPr>
          <w:szCs w:val="20"/>
        </w:rPr>
        <w:t xml:space="preserve">are </w:t>
      </w:r>
      <w:r w:rsidR="00253539">
        <w:rPr>
          <w:szCs w:val="20"/>
        </w:rPr>
        <w:t>characterised by</w:t>
      </w:r>
      <w:r>
        <w:rPr>
          <w:szCs w:val="20"/>
        </w:rPr>
        <w:t xml:space="preserve"> an average level </w:t>
      </w:r>
      <w:r w:rsidR="00253539">
        <w:rPr>
          <w:szCs w:val="20"/>
        </w:rPr>
        <w:t xml:space="preserve">of capacity </w:t>
      </w:r>
      <w:r w:rsidR="00F00D1F">
        <w:rPr>
          <w:szCs w:val="20"/>
        </w:rPr>
        <w:t xml:space="preserve">when </w:t>
      </w:r>
      <w:r>
        <w:rPr>
          <w:szCs w:val="20"/>
        </w:rPr>
        <w:t>compared to the NUTS3 regions of Greece.</w:t>
      </w:r>
    </w:p>
    <w:p w:rsidR="000914CF" w:rsidRPr="009C7E22" w:rsidRDefault="000914CF" w:rsidP="00247DCC">
      <w:pPr>
        <w:rPr>
          <w:szCs w:val="20"/>
        </w:rPr>
      </w:pPr>
    </w:p>
    <w:p w:rsidR="000914CF" w:rsidRDefault="000914CF" w:rsidP="00C00C96"/>
    <w:p w:rsidR="000914CF" w:rsidRDefault="000914CF" w:rsidP="00C00C96"/>
    <w:p w:rsidR="000914CF" w:rsidRDefault="000914CF">
      <w:pPr>
        <w:spacing w:after="0" w:line="240" w:lineRule="auto"/>
        <w:jc w:val="left"/>
      </w:pPr>
      <w:r>
        <w:br w:type="page"/>
      </w:r>
    </w:p>
    <w:p w:rsidR="000914CF" w:rsidRPr="00C33A99" w:rsidRDefault="000914CF"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Greece – Italy</w:t>
      </w:r>
    </w:p>
    <w:p w:rsidR="000914CF" w:rsidRDefault="000914CF" w:rsidP="00D26713">
      <w:pPr>
        <w:spacing w:after="0" w:line="240" w:lineRule="auto"/>
        <w:rPr>
          <w:noProof/>
          <w:lang w:eastAsia="en-GB"/>
        </w:rPr>
      </w:pPr>
    </w:p>
    <w:p w:rsidR="000914CF" w:rsidRDefault="00381695" w:rsidP="00D26713">
      <w:pPr>
        <w:spacing w:after="0" w:line="240" w:lineRule="auto"/>
        <w:rPr>
          <w:noProof/>
          <w:lang w:eastAsia="en-GB"/>
        </w:rPr>
      </w:pPr>
      <w:r w:rsidRPr="00381695">
        <w:rPr>
          <w:noProof/>
          <w:lang w:val="de-DE" w:eastAsia="de-DE"/>
        </w:rPr>
        <w:pict>
          <v:oval id="_x0000_s1044" style="position:absolute;left:0;text-align:left;margin-left:230.15pt;margin-top:293.35pt;width:74.9pt;height:36pt;rotation:1793203fd;z-index:251660288" filled="f" strokecolor="#0070c0" strokeweight="2pt"/>
        </w:pict>
      </w:r>
      <w:r w:rsidR="009673A8">
        <w:rPr>
          <w:noProof/>
          <w:lang w:val="en-US"/>
        </w:rPr>
        <w:drawing>
          <wp:inline distT="0" distB="0" distL="0" distR="0">
            <wp:extent cx="5278755" cy="5814630"/>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78755" cy="5814630"/>
                    </a:xfrm>
                    <a:prstGeom prst="rect">
                      <a:avLst/>
                    </a:prstGeom>
                    <a:noFill/>
                    <a:ln w="9525">
                      <a:noFill/>
                      <a:miter lim="800000"/>
                      <a:headEnd/>
                      <a:tailEnd/>
                    </a:ln>
                  </pic:spPr>
                </pic:pic>
              </a:graphicData>
            </a:graphic>
          </wp:inline>
        </w:drawing>
      </w:r>
    </w:p>
    <w:p w:rsidR="000914CF" w:rsidRDefault="000914CF" w:rsidP="00D26713"/>
    <w:p w:rsidR="000914CF" w:rsidRDefault="000914CF">
      <w:pPr>
        <w:spacing w:after="0" w:line="240" w:lineRule="auto"/>
        <w:jc w:val="left"/>
      </w:pPr>
      <w:r>
        <w:br w:type="page"/>
      </w:r>
    </w:p>
    <w:p w:rsidR="000914CF" w:rsidRDefault="000914CF" w:rsidP="005A5FC4">
      <w:pPr>
        <w:rPr>
          <w:b/>
        </w:rPr>
      </w:pPr>
      <w:r w:rsidRPr="00E50B33">
        <w:rPr>
          <w:b/>
        </w:rPr>
        <w:lastRenderedPageBreak/>
        <w:t>BOX-PLOT 1 – Combined adaptive capacity to climate change (ESPON CLIMATE project) for the CBC Greece – Italy</w:t>
      </w:r>
    </w:p>
    <w:p w:rsidR="00485FC6" w:rsidRPr="00021CAB" w:rsidRDefault="00485FC6" w:rsidP="00485FC6">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0914CF" w:rsidRDefault="00914E73" w:rsidP="006E618B">
      <w:pPr>
        <w:spacing w:after="0" w:line="240" w:lineRule="auto"/>
        <w:rPr>
          <w:noProof/>
          <w:lang w:eastAsia="en-GB"/>
        </w:rPr>
      </w:pPr>
      <w:r>
        <w:rPr>
          <w:noProof/>
          <w:lang w:val="en-US"/>
        </w:rPr>
        <w:drawing>
          <wp:inline distT="0" distB="0" distL="0" distR="0">
            <wp:extent cx="5262880" cy="3911600"/>
            <wp:effectExtent l="2540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cstate="print"/>
                    <a:srcRect/>
                    <a:stretch>
                      <a:fillRect/>
                    </a:stretch>
                  </pic:blipFill>
                  <pic:spPr bwMode="auto">
                    <a:xfrm>
                      <a:off x="0" y="0"/>
                      <a:ext cx="5262880" cy="3911600"/>
                    </a:xfrm>
                    <a:prstGeom prst="rect">
                      <a:avLst/>
                    </a:prstGeom>
                    <a:noFill/>
                    <a:ln w="9525">
                      <a:noFill/>
                      <a:miter lim="800000"/>
                      <a:headEnd/>
                      <a:tailEnd/>
                    </a:ln>
                  </pic:spPr>
                </pic:pic>
              </a:graphicData>
            </a:graphic>
          </wp:inline>
        </w:drawing>
      </w:r>
    </w:p>
    <w:p w:rsidR="000914CF" w:rsidRPr="006F0BC4" w:rsidRDefault="000914CF"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0914CF" w:rsidRPr="006F0BC4" w:rsidRDefault="000914CF"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0914CF" w:rsidRPr="006F0BC4" w:rsidRDefault="000914CF"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0914CF" w:rsidRPr="006F0BC4" w:rsidRDefault="000914CF"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0914CF" w:rsidRDefault="000914CF" w:rsidP="006E618B">
      <w:pPr>
        <w:spacing w:after="0" w:line="240" w:lineRule="auto"/>
        <w:rPr>
          <w:noProof/>
          <w:lang w:eastAsia="en-GB"/>
        </w:rPr>
      </w:pPr>
    </w:p>
    <w:p w:rsidR="000914CF" w:rsidRDefault="000914CF">
      <w:pPr>
        <w:spacing w:after="0" w:line="240" w:lineRule="auto"/>
        <w:jc w:val="left"/>
        <w:rPr>
          <w:noProof/>
          <w:lang w:eastAsia="en-GB"/>
        </w:rPr>
      </w:pPr>
      <w:r>
        <w:rPr>
          <w:noProof/>
          <w:lang w:eastAsia="en-GB"/>
        </w:rPr>
        <w:br w:type="page"/>
      </w:r>
    </w:p>
    <w:p w:rsidR="000914CF" w:rsidRDefault="000914CF" w:rsidP="00B135A2">
      <w:pPr>
        <w:pStyle w:val="Heading3"/>
      </w:pPr>
      <w:r w:rsidRPr="005E5F18">
        <w:lastRenderedPageBreak/>
        <w:t>Inclusive growth</w:t>
      </w:r>
      <w:r>
        <w:t xml:space="preserve"> </w:t>
      </w:r>
    </w:p>
    <w:p w:rsidR="000914CF" w:rsidRDefault="000914CF"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0914CF" w:rsidRDefault="00EB70FA" w:rsidP="00B135A2">
      <w:r>
        <w:rPr>
          <w:noProof/>
          <w:lang w:val="en-US"/>
        </w:rPr>
        <w:drawing>
          <wp:anchor distT="0" distB="0" distL="114300" distR="114300" simplePos="0" relativeHeight="251669504" behindDoc="1" locked="0" layoutInCell="1" allowOverlap="1">
            <wp:simplePos x="0" y="0"/>
            <wp:positionH relativeFrom="column">
              <wp:posOffset>17780</wp:posOffset>
            </wp:positionH>
            <wp:positionV relativeFrom="paragraph">
              <wp:posOffset>-1270</wp:posOffset>
            </wp:positionV>
            <wp:extent cx="5276850" cy="2529205"/>
            <wp:effectExtent l="19050" t="0" r="0" b="0"/>
            <wp:wrapTight wrapText="bothSides">
              <wp:wrapPolygon edited="0">
                <wp:start x="-78" y="0"/>
                <wp:lineTo x="-78" y="21475"/>
                <wp:lineTo x="21600" y="21475"/>
                <wp:lineTo x="21600" y="0"/>
                <wp:lineTo x="-78" y="0"/>
              </wp:wrapPolygon>
            </wp:wrapTight>
            <wp:docPr id="5" name="Bild 3" descr="P:\LU_2011_ESPON_TerrEvi_100269\03_Project development\WorkinProgress_FactSheets\TL_CBC2\CBC Programme Greece_Ital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TL_CBC2\CBC Programme Greece_Italy 3.png"/>
                    <pic:cNvPicPr>
                      <a:picLocks noChangeAspect="1" noChangeArrowheads="1"/>
                    </pic:cNvPicPr>
                  </pic:nvPicPr>
                  <pic:blipFill>
                    <a:blip r:embed="rId16" cstate="print"/>
                    <a:srcRect/>
                    <a:stretch>
                      <a:fillRect/>
                    </a:stretch>
                  </pic:blipFill>
                  <pic:spPr bwMode="auto">
                    <a:xfrm>
                      <a:off x="0" y="0"/>
                      <a:ext cx="5276850" cy="2529205"/>
                    </a:xfrm>
                    <a:prstGeom prst="rect">
                      <a:avLst/>
                    </a:prstGeom>
                    <a:noFill/>
                    <a:ln w="9525">
                      <a:noFill/>
                      <a:miter lim="800000"/>
                      <a:headEnd/>
                      <a:tailEnd/>
                    </a:ln>
                  </pic:spPr>
                </pic:pic>
              </a:graphicData>
            </a:graphic>
          </wp:anchor>
        </w:drawing>
      </w:r>
    </w:p>
    <w:p w:rsidR="000914CF" w:rsidRDefault="000914CF" w:rsidP="00C52960">
      <w:pPr>
        <w:rPr>
          <w:szCs w:val="20"/>
        </w:rPr>
      </w:pPr>
      <w:r w:rsidRPr="001B0021">
        <w:rPr>
          <w:noProof/>
          <w:szCs w:val="20"/>
          <w:lang w:eastAsia="en-GB"/>
        </w:rPr>
        <w:t>The CBC area of Greece</w:t>
      </w:r>
      <w:r>
        <w:rPr>
          <w:noProof/>
          <w:szCs w:val="20"/>
          <w:lang w:eastAsia="en-GB"/>
        </w:rPr>
        <w:t>-Italy</w:t>
      </w:r>
      <w:r w:rsidRPr="001B0021">
        <w:rPr>
          <w:noProof/>
          <w:szCs w:val="20"/>
          <w:lang w:eastAsia="en-GB"/>
        </w:rPr>
        <w:t xml:space="preserve"> in general</w:t>
      </w:r>
      <w:r w:rsidR="005E5F18">
        <w:rPr>
          <w:noProof/>
          <w:szCs w:val="20"/>
          <w:lang w:eastAsia="en-GB"/>
        </w:rPr>
        <w:t xml:space="preserve"> is characterised by a </w:t>
      </w:r>
      <w:r w:rsidR="007B1476">
        <w:rPr>
          <w:noProof/>
          <w:szCs w:val="20"/>
          <w:lang w:eastAsia="en-GB"/>
        </w:rPr>
        <w:t>less</w:t>
      </w:r>
      <w:r w:rsidR="005E5F18">
        <w:rPr>
          <w:noProof/>
          <w:szCs w:val="20"/>
          <w:lang w:eastAsia="en-GB"/>
        </w:rPr>
        <w:t xml:space="preserve"> favourable employment situation</w:t>
      </w:r>
      <w:r w:rsidRPr="001B0021">
        <w:rPr>
          <w:noProof/>
          <w:szCs w:val="20"/>
          <w:lang w:eastAsia="en-GB"/>
        </w:rPr>
        <w:t xml:space="preserve"> </w:t>
      </w:r>
      <w:r w:rsidR="005E5F18">
        <w:rPr>
          <w:noProof/>
          <w:szCs w:val="20"/>
          <w:lang w:eastAsia="en-GB"/>
        </w:rPr>
        <w:t>(as far as the rate</w:t>
      </w:r>
      <w:r w:rsidRPr="001B0021">
        <w:rPr>
          <w:noProof/>
          <w:szCs w:val="20"/>
          <w:lang w:eastAsia="en-GB"/>
        </w:rPr>
        <w:t xml:space="preserve"> </w:t>
      </w:r>
      <w:r w:rsidR="005E5F18">
        <w:rPr>
          <w:noProof/>
          <w:szCs w:val="20"/>
          <w:lang w:eastAsia="en-GB"/>
        </w:rPr>
        <w:t xml:space="preserve">of long-term unemployed persons, of </w:t>
      </w:r>
      <w:r w:rsidRPr="001B0021">
        <w:rPr>
          <w:noProof/>
          <w:szCs w:val="20"/>
          <w:lang w:eastAsia="en-GB"/>
        </w:rPr>
        <w:t>persons at risk of pov</w:t>
      </w:r>
      <w:r>
        <w:rPr>
          <w:noProof/>
          <w:szCs w:val="20"/>
          <w:lang w:eastAsia="en-GB"/>
        </w:rPr>
        <w:t>erty</w:t>
      </w:r>
      <w:r w:rsidR="005E5F18">
        <w:rPr>
          <w:noProof/>
          <w:szCs w:val="20"/>
          <w:lang w:eastAsia="en-GB"/>
        </w:rPr>
        <w:t xml:space="preserve"> or of persons with upper secondary and tertiary educational attainment are concerned)</w:t>
      </w:r>
      <w:r>
        <w:rPr>
          <w:noProof/>
          <w:szCs w:val="20"/>
          <w:lang w:eastAsia="en-GB"/>
        </w:rPr>
        <w:t xml:space="preserve"> compared to the EU27+4, to </w:t>
      </w:r>
      <w:r w:rsidRPr="001B0021">
        <w:rPr>
          <w:noProof/>
          <w:szCs w:val="20"/>
          <w:lang w:eastAsia="en-GB"/>
        </w:rPr>
        <w:t xml:space="preserve">the other CBC regions </w:t>
      </w:r>
      <w:r>
        <w:rPr>
          <w:noProof/>
          <w:szCs w:val="20"/>
          <w:lang w:eastAsia="en-GB"/>
        </w:rPr>
        <w:t xml:space="preserve">or to Italy. </w:t>
      </w:r>
      <w:r w:rsidR="007A412D">
        <w:rPr>
          <w:noProof/>
          <w:szCs w:val="20"/>
          <w:lang w:eastAsia="en-GB"/>
        </w:rPr>
        <w:t xml:space="preserve">It has to be noted that the share of people aged 20-64 in with upper secondary or tertiary education attainment in the CBC region is </w:t>
      </w:r>
      <w:r w:rsidR="0023428B">
        <w:rPr>
          <w:noProof/>
          <w:szCs w:val="20"/>
          <w:lang w:eastAsia="en-GB"/>
        </w:rPr>
        <w:t>only somewhat lower than the national levels</w:t>
      </w:r>
      <w:r w:rsidR="005E5F18">
        <w:rPr>
          <w:noProof/>
          <w:szCs w:val="20"/>
          <w:lang w:eastAsia="en-GB"/>
        </w:rPr>
        <w:t xml:space="preserve">. </w:t>
      </w:r>
      <w:r w:rsidRPr="00FA0724">
        <w:rPr>
          <w:szCs w:val="20"/>
        </w:rPr>
        <w:t xml:space="preserve">A similar employment situation is reflected by BOX-PLOT 2, which shows that all NUTS3 regions of the CBC programme had a </w:t>
      </w:r>
      <w:r>
        <w:rPr>
          <w:szCs w:val="20"/>
        </w:rPr>
        <w:t>lower</w:t>
      </w:r>
      <w:r w:rsidRPr="00FA0724">
        <w:rPr>
          <w:szCs w:val="20"/>
        </w:rPr>
        <w:t xml:space="preserve"> employment rate in 2010 than most EU-27+4, other CBC and Italian regions. </w:t>
      </w:r>
      <w:r w:rsidR="00CD1FB7">
        <w:rPr>
          <w:szCs w:val="20"/>
        </w:rPr>
        <w:t>The</w:t>
      </w:r>
      <w:r w:rsidRPr="00FA0724">
        <w:rPr>
          <w:szCs w:val="20"/>
        </w:rPr>
        <w:t xml:space="preserve"> employment rate of the </w:t>
      </w:r>
      <w:r>
        <w:rPr>
          <w:szCs w:val="20"/>
        </w:rPr>
        <w:t>Greece</w:t>
      </w:r>
      <w:r w:rsidRPr="00FA0724">
        <w:rPr>
          <w:szCs w:val="20"/>
        </w:rPr>
        <w:t xml:space="preserve">-Italy CBC area was on average similar to that of the </w:t>
      </w:r>
      <w:r>
        <w:rPr>
          <w:szCs w:val="20"/>
        </w:rPr>
        <w:t>Greek</w:t>
      </w:r>
      <w:r w:rsidRPr="00FA0724">
        <w:rPr>
          <w:szCs w:val="20"/>
        </w:rPr>
        <w:t xml:space="preserve"> </w:t>
      </w:r>
      <w:r w:rsidR="005E5F18">
        <w:rPr>
          <w:szCs w:val="20"/>
        </w:rPr>
        <w:t>regions</w:t>
      </w:r>
      <w:r w:rsidRPr="00FA0724">
        <w:rPr>
          <w:szCs w:val="20"/>
        </w:rPr>
        <w:t xml:space="preserve">. </w:t>
      </w:r>
      <w:r w:rsidR="005E5F18">
        <w:rPr>
          <w:szCs w:val="20"/>
        </w:rPr>
        <w:t>The</w:t>
      </w:r>
      <w:r>
        <w:rPr>
          <w:szCs w:val="20"/>
        </w:rPr>
        <w:t xml:space="preserve"> NUTS3 </w:t>
      </w:r>
      <w:r w:rsidR="00CD1FB7">
        <w:rPr>
          <w:szCs w:val="20"/>
        </w:rPr>
        <w:t>border-</w:t>
      </w:r>
      <w:r>
        <w:rPr>
          <w:szCs w:val="20"/>
        </w:rPr>
        <w:t>regions of Kerkyra (Greece) and Lecce (Italy)</w:t>
      </w:r>
      <w:r w:rsidR="005E5F18">
        <w:rPr>
          <w:szCs w:val="20"/>
        </w:rPr>
        <w:t xml:space="preserve"> are characterised by the lowest employment rate</w:t>
      </w:r>
      <w:r>
        <w:rPr>
          <w:szCs w:val="20"/>
        </w:rPr>
        <w:t xml:space="preserve"> in all contexts.</w:t>
      </w:r>
    </w:p>
    <w:p w:rsidR="000914CF" w:rsidRDefault="000914CF" w:rsidP="007167FF">
      <w:pPr>
        <w:rPr>
          <w:szCs w:val="20"/>
        </w:rPr>
      </w:pPr>
      <w:r w:rsidRPr="00F320E8">
        <w:rPr>
          <w:noProof/>
          <w:szCs w:val="20"/>
          <w:lang w:eastAsia="en-GB"/>
        </w:rPr>
        <w:t xml:space="preserve">Analysing the </w:t>
      </w:r>
      <w:r>
        <w:rPr>
          <w:noProof/>
          <w:szCs w:val="20"/>
          <w:lang w:eastAsia="en-GB"/>
        </w:rPr>
        <w:t>four</w:t>
      </w:r>
      <w:r w:rsidRPr="00F320E8">
        <w:rPr>
          <w:noProof/>
          <w:szCs w:val="20"/>
          <w:lang w:eastAsia="en-GB"/>
        </w:rPr>
        <w:t xml:space="preserve"> scenarios highlighted in the ESPON DEMIFER project regarding the change in labour force until 2050 (MAP 3), it can be stated that</w:t>
      </w:r>
      <w:r w:rsidR="005E5F18">
        <w:rPr>
          <w:noProof/>
          <w:szCs w:val="20"/>
          <w:lang w:eastAsia="en-GB"/>
        </w:rPr>
        <w:t xml:space="preserve"> significant</w:t>
      </w:r>
      <w:r>
        <w:rPr>
          <w:noProof/>
          <w:szCs w:val="20"/>
          <w:lang w:eastAsia="en-GB"/>
        </w:rPr>
        <w:t xml:space="preserve"> negative changes are forseen </w:t>
      </w:r>
      <w:r w:rsidR="005E5F18">
        <w:rPr>
          <w:noProof/>
          <w:szCs w:val="20"/>
          <w:lang w:eastAsia="en-GB"/>
        </w:rPr>
        <w:t>in</w:t>
      </w:r>
      <w:r>
        <w:rPr>
          <w:noProof/>
          <w:szCs w:val="20"/>
          <w:lang w:eastAsia="en-GB"/>
        </w:rPr>
        <w:t xml:space="preserve"> the Greece-Italy </w:t>
      </w:r>
      <w:r w:rsidR="00CD1FB7">
        <w:rPr>
          <w:noProof/>
          <w:szCs w:val="20"/>
          <w:lang w:eastAsia="en-GB"/>
        </w:rPr>
        <w:t>border-</w:t>
      </w:r>
      <w:r>
        <w:rPr>
          <w:noProof/>
          <w:szCs w:val="20"/>
          <w:lang w:eastAsia="en-GB"/>
        </w:rPr>
        <w:t xml:space="preserve">area. </w:t>
      </w:r>
      <w:r w:rsidR="00CC43E3">
        <w:rPr>
          <w:noProof/>
          <w:szCs w:val="20"/>
          <w:lang w:eastAsia="en-GB"/>
        </w:rPr>
        <w:t>Only the</w:t>
      </w:r>
      <w:r>
        <w:rPr>
          <w:noProof/>
          <w:szCs w:val="20"/>
          <w:lang w:eastAsia="en-GB"/>
        </w:rPr>
        <w:t xml:space="preserve"> </w:t>
      </w:r>
      <w:r w:rsidR="00CC43E3">
        <w:rPr>
          <w:noProof/>
          <w:szCs w:val="20"/>
          <w:lang w:eastAsia="en-GB"/>
        </w:rPr>
        <w:t>employment prospects</w:t>
      </w:r>
      <w:r>
        <w:rPr>
          <w:noProof/>
          <w:szCs w:val="20"/>
          <w:lang w:eastAsia="en-GB"/>
        </w:rPr>
        <w:t xml:space="preserve"> of the ’Epirus region’ (of Ioannia, Preveza and Thesprotia) in Greece </w:t>
      </w:r>
      <w:r w:rsidR="00CC43E3">
        <w:rPr>
          <w:noProof/>
          <w:szCs w:val="20"/>
          <w:lang w:eastAsia="en-GB"/>
        </w:rPr>
        <w:t>are</w:t>
      </w:r>
      <w:r w:rsidR="005E5F18">
        <w:rPr>
          <w:noProof/>
          <w:szCs w:val="20"/>
          <w:lang w:eastAsia="en-GB"/>
        </w:rPr>
        <w:t xml:space="preserve"> </w:t>
      </w:r>
      <w:r>
        <w:rPr>
          <w:noProof/>
          <w:szCs w:val="20"/>
          <w:lang w:eastAsia="en-GB"/>
        </w:rPr>
        <w:t xml:space="preserve">slightly </w:t>
      </w:r>
      <w:r w:rsidR="005E5F18">
        <w:rPr>
          <w:noProof/>
          <w:szCs w:val="20"/>
          <w:lang w:eastAsia="en-GB"/>
        </w:rPr>
        <w:t>more favourable</w:t>
      </w:r>
      <w:r>
        <w:rPr>
          <w:noProof/>
          <w:szCs w:val="20"/>
          <w:lang w:eastAsia="en-GB"/>
        </w:rPr>
        <w:t xml:space="preserve">, </w:t>
      </w:r>
      <w:r w:rsidR="00CC43E3">
        <w:rPr>
          <w:noProof/>
          <w:szCs w:val="20"/>
          <w:lang w:eastAsia="en-GB"/>
        </w:rPr>
        <w:t>since</w:t>
      </w:r>
      <w:r>
        <w:rPr>
          <w:noProof/>
          <w:szCs w:val="20"/>
          <w:lang w:eastAsia="en-GB"/>
        </w:rPr>
        <w:t xml:space="preserve"> the ’Growing Social Europe’  scenario envisages minor negative changes</w:t>
      </w:r>
      <w:r w:rsidR="00CC43E3">
        <w:rPr>
          <w:noProof/>
          <w:szCs w:val="20"/>
          <w:lang w:eastAsia="en-GB"/>
        </w:rPr>
        <w:t xml:space="preserve"> only</w:t>
      </w:r>
      <w:r>
        <w:rPr>
          <w:noProof/>
          <w:szCs w:val="20"/>
          <w:lang w:eastAsia="en-GB"/>
        </w:rPr>
        <w:t xml:space="preserve">, and </w:t>
      </w:r>
      <w:r w:rsidR="00CC43E3">
        <w:rPr>
          <w:noProof/>
          <w:szCs w:val="20"/>
          <w:lang w:eastAsia="en-GB"/>
        </w:rPr>
        <w:t>the ’Expanding Market Europe’ scenario even forsees</w:t>
      </w:r>
      <w:r>
        <w:rPr>
          <w:noProof/>
          <w:szCs w:val="20"/>
          <w:lang w:eastAsia="en-GB"/>
        </w:rPr>
        <w:t xml:space="preserve"> </w:t>
      </w:r>
      <w:r w:rsidR="00CC43E3">
        <w:rPr>
          <w:noProof/>
          <w:szCs w:val="20"/>
          <w:lang w:eastAsia="en-GB"/>
        </w:rPr>
        <w:t>a low level of labour force increase</w:t>
      </w:r>
      <w:r>
        <w:rPr>
          <w:noProof/>
          <w:szCs w:val="20"/>
          <w:lang w:eastAsia="en-GB"/>
        </w:rPr>
        <w:t xml:space="preserve"> in </w:t>
      </w:r>
      <w:r w:rsidR="00CD1FB7">
        <w:rPr>
          <w:noProof/>
          <w:szCs w:val="20"/>
          <w:lang w:eastAsia="en-GB"/>
        </w:rPr>
        <w:t>this</w:t>
      </w:r>
      <w:r>
        <w:rPr>
          <w:noProof/>
          <w:szCs w:val="20"/>
          <w:lang w:eastAsia="en-GB"/>
        </w:rPr>
        <w:t xml:space="preserve"> area by</w:t>
      </w:r>
      <w:r w:rsidR="00CC43E3">
        <w:rPr>
          <w:noProof/>
          <w:szCs w:val="20"/>
          <w:lang w:eastAsia="en-GB"/>
        </w:rPr>
        <w:t xml:space="preserve"> 2050</w:t>
      </w:r>
      <w:r>
        <w:rPr>
          <w:noProof/>
          <w:szCs w:val="20"/>
          <w:lang w:eastAsia="en-GB"/>
        </w:rPr>
        <w:t>.</w:t>
      </w:r>
    </w:p>
    <w:p w:rsidR="000914CF" w:rsidRPr="007167FF" w:rsidRDefault="000914CF" w:rsidP="007167FF">
      <w:pPr>
        <w:rPr>
          <w:szCs w:val="20"/>
        </w:rPr>
      </w:pPr>
      <w:r>
        <w:rPr>
          <w:noProof/>
          <w:lang w:eastAsia="en-GB"/>
        </w:rPr>
        <w:br w:type="page"/>
      </w:r>
    </w:p>
    <w:p w:rsidR="000914CF" w:rsidRPr="00C33A99" w:rsidRDefault="000914CF" w:rsidP="005A5FC4">
      <w:pPr>
        <w:rPr>
          <w:b/>
        </w:rPr>
      </w:pPr>
      <w:r>
        <w:rPr>
          <w:b/>
        </w:rPr>
        <w:lastRenderedPageBreak/>
        <w:t xml:space="preserve">MAP 3 – </w:t>
      </w:r>
      <w:r w:rsidRPr="00C33A99">
        <w:rPr>
          <w:b/>
        </w:rPr>
        <w:t>Change in Labour Force 2005-2050 (ESPON DEMIFER project)</w:t>
      </w:r>
      <w:r>
        <w:rPr>
          <w:b/>
        </w:rPr>
        <w:t xml:space="preserve"> for the CBC Greece – Italy</w:t>
      </w:r>
    </w:p>
    <w:p w:rsidR="000914CF" w:rsidRDefault="000914CF" w:rsidP="0089569C">
      <w:pPr>
        <w:spacing w:after="0" w:line="240" w:lineRule="auto"/>
        <w:rPr>
          <w:noProof/>
          <w:lang w:eastAsia="en-GB"/>
        </w:rPr>
      </w:pPr>
    </w:p>
    <w:p w:rsidR="000914CF" w:rsidRDefault="00381695" w:rsidP="0089569C">
      <w:pPr>
        <w:spacing w:after="0" w:line="240" w:lineRule="auto"/>
        <w:rPr>
          <w:noProof/>
          <w:lang w:eastAsia="en-GB"/>
        </w:rPr>
      </w:pPr>
      <w:r w:rsidRPr="00381695">
        <w:rPr>
          <w:noProof/>
          <w:lang w:val="de-DE" w:eastAsia="de-DE"/>
        </w:rPr>
        <w:pict>
          <v:oval id="_x0000_s1048" style="position:absolute;left:0;text-align:left;margin-left:314.95pt;margin-top:377.3pt;width:36.65pt;height:17.6pt;rotation:1793203fd;z-index:251664384" filled="f" strokecolor="#0070c0" strokeweight="2pt"/>
        </w:pict>
      </w:r>
      <w:r w:rsidRPr="00381695">
        <w:rPr>
          <w:noProof/>
          <w:lang w:val="de-DE" w:eastAsia="de-DE"/>
        </w:rPr>
        <w:pict>
          <v:oval id="_x0000_s1047" style="position:absolute;left:0;text-align:left;margin-left:119.35pt;margin-top:378.15pt;width:36.65pt;height:17.6pt;rotation:1793203fd;z-index:251663360" filled="f" strokecolor="#0070c0" strokeweight="2pt"/>
        </w:pict>
      </w:r>
      <w:r w:rsidRPr="00381695">
        <w:rPr>
          <w:noProof/>
          <w:lang w:val="de-DE" w:eastAsia="de-DE"/>
        </w:rPr>
        <w:pict>
          <v:oval id="_x0000_s1046" style="position:absolute;left:0;text-align:left;margin-left:317.5pt;margin-top:172.15pt;width:36.65pt;height:17.6pt;rotation:1793203fd;z-index:251662336" filled="f" strokecolor="#0070c0" strokeweight="2pt"/>
        </w:pict>
      </w:r>
      <w:r w:rsidRPr="00381695">
        <w:rPr>
          <w:noProof/>
          <w:lang w:val="de-DE" w:eastAsia="de-DE"/>
        </w:rPr>
        <w:pict>
          <v:oval id="_x0000_s1045" style="position:absolute;left:0;text-align:left;margin-left:115.8pt;margin-top:173pt;width:36.65pt;height:17.6pt;rotation:1793203fd;z-index:251661312" filled="f" strokecolor="#0070c0" strokeweight="2pt"/>
        </w:pict>
      </w:r>
      <w:r w:rsidR="003121B6">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7" cstate="print"/>
                    <a:stretch>
                      <a:fillRect/>
                    </a:stretch>
                  </pic:blipFill>
                  <pic:spPr>
                    <a:xfrm>
                      <a:off x="0" y="0"/>
                      <a:ext cx="5278755" cy="6911340"/>
                    </a:xfrm>
                    <a:prstGeom prst="rect">
                      <a:avLst/>
                    </a:prstGeom>
                  </pic:spPr>
                </pic:pic>
              </a:graphicData>
            </a:graphic>
          </wp:inline>
        </w:drawing>
      </w:r>
    </w:p>
    <w:p w:rsidR="000914CF" w:rsidRDefault="000914CF" w:rsidP="0089569C">
      <w:pPr>
        <w:spacing w:after="0" w:line="240" w:lineRule="auto"/>
        <w:rPr>
          <w:noProof/>
          <w:lang w:eastAsia="en-GB"/>
        </w:rPr>
      </w:pPr>
    </w:p>
    <w:p w:rsidR="000914CF" w:rsidRDefault="000914CF">
      <w:pPr>
        <w:spacing w:after="0" w:line="240" w:lineRule="auto"/>
        <w:jc w:val="left"/>
        <w:rPr>
          <w:noProof/>
          <w:lang w:eastAsia="en-GB"/>
        </w:rPr>
      </w:pPr>
      <w:r>
        <w:rPr>
          <w:noProof/>
          <w:lang w:eastAsia="en-GB"/>
        </w:rPr>
        <w:br w:type="page"/>
      </w:r>
    </w:p>
    <w:p w:rsidR="000914CF" w:rsidRDefault="000914CF" w:rsidP="00E56193">
      <w:pPr>
        <w:rPr>
          <w:noProof/>
          <w:lang w:eastAsia="en-GB"/>
        </w:rPr>
      </w:pPr>
      <w:r w:rsidRPr="00E50B33">
        <w:rPr>
          <w:b/>
        </w:rPr>
        <w:lastRenderedPageBreak/>
        <w:t>BOX-PLOT 2 – Employment rate 2010 within the CBC Greece – Italy</w:t>
      </w:r>
    </w:p>
    <w:p w:rsidR="00485FC6" w:rsidRDefault="00485FC6" w:rsidP="00FD4E3A">
      <w:pPr>
        <w:spacing w:after="0" w:line="240" w:lineRule="auto"/>
        <w:jc w:val="left"/>
        <w:rPr>
          <w:noProof/>
          <w:lang w:eastAsia="en-GB"/>
        </w:rPr>
      </w:pPr>
      <w:r>
        <w:rPr>
          <w:noProof/>
          <w:lang w:val="en-US"/>
        </w:rPr>
        <w:drawing>
          <wp:anchor distT="0" distB="0" distL="114300" distR="114300" simplePos="0" relativeHeight="251658240" behindDoc="1" locked="0" layoutInCell="1" allowOverlap="1">
            <wp:simplePos x="0" y="0"/>
            <wp:positionH relativeFrom="column">
              <wp:posOffset>-14605</wp:posOffset>
            </wp:positionH>
            <wp:positionV relativeFrom="paragraph">
              <wp:posOffset>236220</wp:posOffset>
            </wp:positionV>
            <wp:extent cx="5243830" cy="3976370"/>
            <wp:effectExtent l="19050" t="0" r="0" b="0"/>
            <wp:wrapTight wrapText="bothSides">
              <wp:wrapPolygon edited="0">
                <wp:start x="-78" y="0"/>
                <wp:lineTo x="-78" y="21524"/>
                <wp:lineTo x="21579" y="21524"/>
                <wp:lineTo x="21579" y="0"/>
                <wp:lineTo x="-78" y="0"/>
              </wp:wrapPolygon>
            </wp:wrapTight>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8" cstate="print"/>
                    <a:srcRect/>
                    <a:stretch>
                      <a:fillRect/>
                    </a:stretch>
                  </pic:blipFill>
                  <pic:spPr bwMode="auto">
                    <a:xfrm>
                      <a:off x="0" y="0"/>
                      <a:ext cx="5243830" cy="3976370"/>
                    </a:xfrm>
                    <a:prstGeom prst="rect">
                      <a:avLst/>
                    </a:prstGeom>
                    <a:noFill/>
                    <a:ln w="9525">
                      <a:noFill/>
                      <a:miter lim="800000"/>
                      <a:headEnd/>
                      <a:tailEnd/>
                    </a:ln>
                  </pic:spPr>
                </pic:pic>
              </a:graphicData>
            </a:graphic>
          </wp:anchor>
        </w:drawing>
      </w:r>
    </w:p>
    <w:p w:rsidR="00485FC6" w:rsidRDefault="00485FC6" w:rsidP="00FD4E3A">
      <w:pPr>
        <w:spacing w:after="0" w:line="240" w:lineRule="auto"/>
        <w:jc w:val="left"/>
        <w:rPr>
          <w:noProof/>
          <w:lang w:eastAsia="en-GB"/>
        </w:rPr>
      </w:pPr>
    </w:p>
    <w:p w:rsidR="00485FC6" w:rsidRDefault="00485FC6" w:rsidP="00FD4E3A">
      <w:pPr>
        <w:spacing w:after="0" w:line="240" w:lineRule="auto"/>
        <w:jc w:val="left"/>
        <w:rPr>
          <w:noProof/>
          <w:lang w:eastAsia="en-GB"/>
        </w:rPr>
      </w:pPr>
    </w:p>
    <w:p w:rsidR="000914CF" w:rsidRDefault="000914CF" w:rsidP="00FD4E3A">
      <w:pPr>
        <w:spacing w:after="0" w:line="240" w:lineRule="auto"/>
        <w:jc w:val="left"/>
        <w:rPr>
          <w:noProof/>
          <w:lang w:eastAsia="en-GB"/>
        </w:rPr>
      </w:pPr>
    </w:p>
    <w:p w:rsidR="00485FC6" w:rsidRPr="00383954" w:rsidRDefault="00485FC6" w:rsidP="00485FC6">
      <w:pPr>
        <w:spacing w:after="0" w:line="240" w:lineRule="auto"/>
        <w:jc w:val="left"/>
        <w:rPr>
          <w:i/>
          <w:noProof/>
          <w:lang w:eastAsia="en-GB"/>
        </w:rPr>
      </w:pPr>
      <w:r w:rsidRPr="00383954">
        <w:rPr>
          <w:i/>
          <w:noProof/>
          <w:lang w:eastAsia="en-GB"/>
        </w:rPr>
        <w:t xml:space="preserve">(see “How to read the box-plots?” on page </w:t>
      </w:r>
      <w:r w:rsidR="00F566CD">
        <w:rPr>
          <w:i/>
          <w:noProof/>
          <w:lang w:eastAsia="en-GB"/>
        </w:rPr>
        <w:t>8</w:t>
      </w:r>
      <w:r w:rsidRPr="00383954">
        <w:rPr>
          <w:i/>
          <w:noProof/>
          <w:lang w:eastAsia="en-GB"/>
        </w:rPr>
        <w:t>)</w:t>
      </w:r>
    </w:p>
    <w:p w:rsidR="000914CF" w:rsidRDefault="000914CF" w:rsidP="00FD4E3A">
      <w:pPr>
        <w:spacing w:after="0" w:line="240" w:lineRule="auto"/>
        <w:jc w:val="left"/>
        <w:rPr>
          <w:noProof/>
          <w:lang w:eastAsia="en-GB"/>
        </w:rPr>
      </w:pPr>
    </w:p>
    <w:p w:rsidR="000914CF" w:rsidRDefault="000914CF">
      <w:pPr>
        <w:spacing w:after="0" w:line="240" w:lineRule="auto"/>
        <w:jc w:val="left"/>
        <w:rPr>
          <w:noProof/>
          <w:lang w:eastAsia="en-GB"/>
        </w:rPr>
      </w:pPr>
      <w:r>
        <w:rPr>
          <w:noProof/>
          <w:lang w:eastAsia="en-GB"/>
        </w:rPr>
        <w:br w:type="page"/>
      </w:r>
    </w:p>
    <w:p w:rsidR="000914CF" w:rsidRPr="00240760" w:rsidRDefault="000914CF" w:rsidP="005761A6">
      <w:pPr>
        <w:pStyle w:val="Heading1"/>
      </w:pPr>
      <w:r w:rsidRPr="00240760">
        <w:lastRenderedPageBreak/>
        <w:t xml:space="preserve">Territorial factors of interest for the programme area </w:t>
      </w:r>
    </w:p>
    <w:p w:rsidR="00240760" w:rsidRDefault="00240760" w:rsidP="00240760">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240760" w:rsidRDefault="00240760" w:rsidP="00240760">
      <w:r>
        <w:t xml:space="preserve">The programme area is mainly characterised by a composition of intermediate regions (in-between urban and rural) close to a city on the Italian side and remote rural regions on the Greek side. The main urban centres in the programme area are Bari, Ioannina and Patra. There are no larger urban centres of international importance within close proximity to the programme area. </w:t>
      </w:r>
    </w:p>
    <w:p w:rsidR="00240760" w:rsidRDefault="00240760" w:rsidP="00240760">
      <w:r>
        <w:t xml:space="preserve">Despite the international ports in the programme area, is the multimodal accessibility of the area below European average. Compared to other cross-border programme areas or Europe in general, the programme area has a rather limited multimodal accessibility. Also when it comes to the use and access to internet, the regions of the programme area show rather low values in a European perspective. </w:t>
      </w:r>
    </w:p>
    <w:p w:rsidR="00240760" w:rsidRDefault="00240760" w:rsidP="00240760">
      <w:r>
        <w:t xml:space="preserve">As regards geographical specificities, the programme area largely characterised as coastal including a number of islands and even a few sparsely populated areas. This comes with a number of development potentials and challenges. </w:t>
      </w:r>
    </w:p>
    <w:p w:rsidR="00240760" w:rsidRDefault="00240760" w:rsidP="00240760">
      <w:r w:rsidRPr="0032010C">
        <w:t>ESPON GEOSPECS has developed nexus model</w:t>
      </w:r>
      <w:r>
        <w:t>s</w:t>
      </w:r>
      <w:r w:rsidRPr="0032010C">
        <w:t xml:space="preserve"> for </w:t>
      </w:r>
      <w:r>
        <w:t xml:space="preserve">coastal </w:t>
      </w:r>
      <w:r w:rsidRPr="0032010C">
        <w:t>regions</w:t>
      </w:r>
      <w:r>
        <w:t>, islands and sparsely populated areas</w:t>
      </w:r>
      <w:r w:rsidRPr="0032010C">
        <w:t xml:space="preserve"> linking defining features via intermediary process to development challenges and opportuni</w:t>
      </w:r>
      <w:r>
        <w:t>ties. The below figure is an example for coastal areas. The</w:t>
      </w:r>
      <w:r w:rsidRPr="0032010C">
        <w:t>s</w:t>
      </w:r>
      <w:r>
        <w:t>e</w:t>
      </w:r>
      <w:r w:rsidRPr="0032010C">
        <w:t xml:space="preserve"> model</w:t>
      </w:r>
      <w:r>
        <w:t>s</w:t>
      </w:r>
      <w:r w:rsidRPr="0032010C">
        <w:t xml:space="preserve"> can be of interest </w:t>
      </w:r>
      <w:r>
        <w:t xml:space="preserve">also </w:t>
      </w:r>
      <w:r w:rsidRPr="0032010C">
        <w:t xml:space="preserve">for further developing the discussion about the challenges and opportunities in the programme area. </w:t>
      </w:r>
    </w:p>
    <w:p w:rsidR="00240760" w:rsidRDefault="00240760" w:rsidP="00240760">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240760" w:rsidRDefault="00240760" w:rsidP="00240760">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240760" w:rsidRPr="00AC0338" w:rsidRDefault="00240760" w:rsidP="00240760">
      <w:pPr>
        <w:shd w:val="clear" w:color="auto" w:fill="F2F2F2" w:themeFill="background1" w:themeFillShade="F2"/>
        <w:spacing w:after="0" w:line="240" w:lineRule="auto"/>
        <w:jc w:val="center"/>
        <w:rPr>
          <w:rFonts w:cs="Calibri"/>
          <w:sz w:val="18"/>
          <w:szCs w:val="20"/>
          <w:lang w:eastAsia="fr-FR"/>
        </w:rPr>
      </w:pPr>
    </w:p>
    <w:p w:rsidR="00240760" w:rsidRPr="005A5FC4" w:rsidRDefault="00240760" w:rsidP="00240760"/>
    <w:p w:rsidR="000914CF" w:rsidRPr="005A5FC4" w:rsidRDefault="000914CF" w:rsidP="005A5FC4"/>
    <w:p w:rsidR="000914CF" w:rsidRDefault="000914CF">
      <w:pPr>
        <w:spacing w:after="0" w:line="240" w:lineRule="auto"/>
        <w:jc w:val="left"/>
      </w:pPr>
      <w:r>
        <w:br w:type="page"/>
      </w:r>
    </w:p>
    <w:p w:rsidR="000914CF" w:rsidRPr="00C33A99" w:rsidRDefault="000914CF"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Pr>
          <w:b/>
        </w:rPr>
        <w:t>Greece – Italy</w:t>
      </w:r>
    </w:p>
    <w:p w:rsidR="000914CF" w:rsidRDefault="000914CF" w:rsidP="0089569C">
      <w:pPr>
        <w:spacing w:after="0" w:line="240" w:lineRule="auto"/>
        <w:jc w:val="left"/>
        <w:rPr>
          <w:noProof/>
          <w:lang w:eastAsia="en-GB"/>
        </w:rPr>
      </w:pPr>
    </w:p>
    <w:p w:rsidR="000914CF" w:rsidRDefault="00381695" w:rsidP="0089569C">
      <w:pPr>
        <w:spacing w:after="0" w:line="240" w:lineRule="auto"/>
        <w:jc w:val="left"/>
        <w:rPr>
          <w:noProof/>
          <w:lang w:eastAsia="en-GB"/>
        </w:rPr>
      </w:pPr>
      <w:r w:rsidRPr="00381695">
        <w:rPr>
          <w:noProof/>
          <w:lang w:val="de-DE" w:eastAsia="de-DE"/>
        </w:rPr>
        <w:pict>
          <v:oval id="_x0000_s1049" style="position:absolute;margin-left:221pt;margin-top:330.6pt;width:69.8pt;height:40.25pt;rotation:1793203fd;z-index:251665408" filled="f" strokecolor="#0070c0" strokeweight="2pt"/>
        </w:pict>
      </w:r>
      <w:r w:rsidR="009673A8">
        <w:rPr>
          <w:noProof/>
          <w:lang w:val="en-US"/>
        </w:rPr>
        <w:drawing>
          <wp:inline distT="0" distB="0" distL="0" distR="0">
            <wp:extent cx="5278755" cy="7210476"/>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278755" cy="7210476"/>
                    </a:xfrm>
                    <a:prstGeom prst="rect">
                      <a:avLst/>
                    </a:prstGeom>
                    <a:noFill/>
                    <a:ln w="9525">
                      <a:noFill/>
                      <a:miter lim="800000"/>
                      <a:headEnd/>
                      <a:tailEnd/>
                    </a:ln>
                  </pic:spPr>
                </pic:pic>
              </a:graphicData>
            </a:graphic>
          </wp:inline>
        </w:drawing>
      </w:r>
    </w:p>
    <w:p w:rsidR="00D34A3A" w:rsidRPr="0085195F" w:rsidRDefault="00D34A3A" w:rsidP="00D34A3A">
      <w:pPr>
        <w:jc w:val="right"/>
        <w:rPr>
          <w:i/>
        </w:rPr>
      </w:pPr>
      <w:r w:rsidRPr="0085195F">
        <w:rPr>
          <w:i/>
        </w:rPr>
        <w:t>(Accessible=close to a city)</w:t>
      </w:r>
    </w:p>
    <w:p w:rsidR="000914CF" w:rsidRDefault="000914CF" w:rsidP="0089569C">
      <w:pPr>
        <w:spacing w:after="0" w:line="240" w:lineRule="auto"/>
        <w:jc w:val="left"/>
        <w:rPr>
          <w:noProof/>
          <w:lang w:eastAsia="en-GB"/>
        </w:rPr>
      </w:pPr>
    </w:p>
    <w:p w:rsidR="000914CF" w:rsidRDefault="000914CF" w:rsidP="0019394E">
      <w:pPr>
        <w:spacing w:after="0" w:line="240" w:lineRule="auto"/>
        <w:jc w:val="left"/>
        <w:rPr>
          <w:noProof/>
          <w:lang w:eastAsia="en-GB"/>
        </w:rPr>
      </w:pPr>
      <w:r>
        <w:rPr>
          <w:noProof/>
          <w:lang w:eastAsia="en-GB"/>
        </w:rPr>
        <w:br w:type="page"/>
      </w:r>
    </w:p>
    <w:p w:rsidR="000914CF" w:rsidRDefault="000914CF" w:rsidP="005A5FC4">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Pr>
          <w:b/>
        </w:rPr>
        <w:t>Greece – Italy</w:t>
      </w:r>
    </w:p>
    <w:p w:rsidR="000974EE" w:rsidRPr="00021CAB" w:rsidRDefault="000974EE" w:rsidP="000974EE">
      <w:pPr>
        <w:spacing w:after="240"/>
        <w:rPr>
          <w:i/>
        </w:rPr>
      </w:pPr>
      <w:r w:rsidRPr="00021CAB">
        <w:rPr>
          <w:i/>
        </w:rPr>
        <w:t>“Potential Accessibility Multimodal” scores accessibility of NUTS 3 regions by road, rail and air relative to the European average in an Accessibility Index.</w:t>
      </w:r>
    </w:p>
    <w:p w:rsidR="000914CF" w:rsidRDefault="00381695" w:rsidP="0089569C">
      <w:pPr>
        <w:spacing w:after="0" w:line="240" w:lineRule="auto"/>
        <w:jc w:val="left"/>
        <w:rPr>
          <w:noProof/>
          <w:lang w:eastAsia="en-GB"/>
        </w:rPr>
      </w:pPr>
      <w:r w:rsidRPr="00381695">
        <w:rPr>
          <w:noProof/>
          <w:lang w:val="de-DE" w:eastAsia="de-DE"/>
        </w:rPr>
        <w:pict>
          <v:oval id="_x0000_s1050" style="position:absolute;margin-left:220.2pt;margin-top:330.6pt;width:73.95pt;height:35.5pt;rotation:1793203fd;z-index:251666432" filled="f" strokecolor="#0070c0" strokeweight="2pt"/>
        </w:pict>
      </w:r>
      <w:r w:rsidR="003121B6">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1" cstate="print"/>
                    <a:stretch>
                      <a:fillRect/>
                    </a:stretch>
                  </pic:blipFill>
                  <pic:spPr>
                    <a:xfrm>
                      <a:off x="0" y="0"/>
                      <a:ext cx="5278755" cy="7444105"/>
                    </a:xfrm>
                    <a:prstGeom prst="rect">
                      <a:avLst/>
                    </a:prstGeom>
                  </pic:spPr>
                </pic:pic>
              </a:graphicData>
            </a:graphic>
          </wp:inline>
        </w:drawing>
      </w:r>
    </w:p>
    <w:p w:rsidR="000914CF" w:rsidRDefault="000914CF" w:rsidP="0089569C">
      <w:pPr>
        <w:spacing w:after="0" w:line="240" w:lineRule="auto"/>
        <w:jc w:val="left"/>
        <w:rPr>
          <w:noProof/>
          <w:lang w:eastAsia="en-GB"/>
        </w:rPr>
      </w:pPr>
    </w:p>
    <w:p w:rsidR="000914CF" w:rsidRDefault="000914CF" w:rsidP="0019394E">
      <w:pPr>
        <w:spacing w:after="0" w:line="240" w:lineRule="auto"/>
        <w:jc w:val="left"/>
        <w:rPr>
          <w:noProof/>
          <w:lang w:eastAsia="en-GB"/>
        </w:rPr>
      </w:pPr>
      <w:r>
        <w:rPr>
          <w:noProof/>
          <w:lang w:eastAsia="en-GB"/>
        </w:rPr>
        <w:br w:type="page"/>
      </w:r>
    </w:p>
    <w:p w:rsidR="000914CF" w:rsidRPr="00CD7D5F" w:rsidRDefault="000914CF" w:rsidP="0019394E">
      <w:pPr>
        <w:pStyle w:val="Heading1"/>
      </w:pPr>
      <w:r w:rsidRPr="00CD7D5F">
        <w:lastRenderedPageBreak/>
        <w:t>Recommended ESPON reading</w:t>
      </w:r>
    </w:p>
    <w:p w:rsidR="00CD7D5F" w:rsidRDefault="00CD7D5F" w:rsidP="00CD7D5F">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CD7D5F" w:rsidRDefault="00CD7D5F" w:rsidP="00CD7D5F">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CD7D5F" w:rsidRPr="00A0472D" w:rsidTr="00464177">
        <w:trPr>
          <w:trHeight w:val="203"/>
        </w:trPr>
        <w:tc>
          <w:tcPr>
            <w:tcW w:w="1276" w:type="dxa"/>
            <w:shd w:val="clear" w:color="auto" w:fill="auto"/>
          </w:tcPr>
          <w:p w:rsidR="00CD7D5F" w:rsidRPr="00A0472D" w:rsidRDefault="00CD7D5F" w:rsidP="00464177">
            <w:pPr>
              <w:spacing w:after="0" w:line="20" w:lineRule="atLeast"/>
              <w:rPr>
                <w:b/>
                <w:sz w:val="18"/>
                <w:szCs w:val="18"/>
              </w:rPr>
            </w:pPr>
            <w:r w:rsidRPr="00A0472D">
              <w:rPr>
                <w:b/>
                <w:sz w:val="18"/>
                <w:szCs w:val="18"/>
              </w:rPr>
              <w:t>ESPON study</w:t>
            </w:r>
          </w:p>
        </w:tc>
        <w:tc>
          <w:tcPr>
            <w:tcW w:w="1418" w:type="dxa"/>
            <w:shd w:val="clear" w:color="auto" w:fill="auto"/>
          </w:tcPr>
          <w:p w:rsidR="00CD7D5F" w:rsidRPr="00A0472D" w:rsidRDefault="00CD7D5F" w:rsidP="00464177">
            <w:pPr>
              <w:spacing w:after="0" w:line="20" w:lineRule="atLeast"/>
              <w:rPr>
                <w:b/>
                <w:sz w:val="18"/>
                <w:szCs w:val="18"/>
              </w:rPr>
            </w:pPr>
            <w:r w:rsidRPr="00A0472D">
              <w:rPr>
                <w:b/>
                <w:sz w:val="18"/>
                <w:szCs w:val="18"/>
              </w:rPr>
              <w:t>Topic</w:t>
            </w:r>
          </w:p>
        </w:tc>
        <w:tc>
          <w:tcPr>
            <w:tcW w:w="5670" w:type="dxa"/>
            <w:shd w:val="clear" w:color="auto" w:fill="auto"/>
          </w:tcPr>
          <w:p w:rsidR="00CD7D5F" w:rsidRPr="00A0472D" w:rsidRDefault="00CD7D5F" w:rsidP="00464177">
            <w:pPr>
              <w:spacing w:after="0" w:line="20" w:lineRule="atLeast"/>
              <w:rPr>
                <w:b/>
                <w:sz w:val="18"/>
                <w:szCs w:val="18"/>
              </w:rPr>
            </w:pPr>
            <w:r w:rsidRPr="00A0472D">
              <w:rPr>
                <w:b/>
                <w:sz w:val="18"/>
                <w:szCs w:val="18"/>
              </w:rPr>
              <w:t>Content</w:t>
            </w:r>
          </w:p>
        </w:tc>
      </w:tr>
      <w:tr w:rsidR="00CD7D5F" w:rsidRPr="00A0472D" w:rsidTr="00464177">
        <w:trPr>
          <w:trHeight w:val="274"/>
        </w:trPr>
        <w:tc>
          <w:tcPr>
            <w:tcW w:w="1276" w:type="dxa"/>
            <w:shd w:val="clear" w:color="auto" w:fill="FFFFFF" w:themeFill="background1"/>
          </w:tcPr>
          <w:p w:rsidR="00CD7D5F" w:rsidRPr="00A0472D" w:rsidRDefault="00CD7D5F" w:rsidP="00464177">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CD7D5F" w:rsidRPr="00A0472D" w:rsidRDefault="00CD7D5F" w:rsidP="00464177">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CD7D5F" w:rsidRPr="00A0472D" w:rsidRDefault="00CD7D5F" w:rsidP="00464177">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CD7D5F" w:rsidRPr="00A0472D" w:rsidTr="00464177">
        <w:trPr>
          <w:trHeight w:val="274"/>
        </w:trPr>
        <w:tc>
          <w:tcPr>
            <w:tcW w:w="1276" w:type="dxa"/>
            <w:shd w:val="clear" w:color="auto" w:fill="FFFFFF" w:themeFill="background1"/>
          </w:tcPr>
          <w:p w:rsidR="00CD7D5F" w:rsidRPr="00A0472D" w:rsidRDefault="00CD7D5F" w:rsidP="00464177">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CD7D5F" w:rsidRPr="00A0472D" w:rsidRDefault="00CD7D5F" w:rsidP="00464177">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CD7D5F" w:rsidRPr="00A0472D" w:rsidRDefault="00CD7D5F" w:rsidP="00464177">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CD7D5F" w:rsidRPr="00A0472D" w:rsidTr="00464177">
        <w:trPr>
          <w:trHeight w:val="274"/>
        </w:trPr>
        <w:tc>
          <w:tcPr>
            <w:tcW w:w="1276" w:type="dxa"/>
            <w:shd w:val="clear" w:color="auto" w:fill="FFFFFF" w:themeFill="background1"/>
          </w:tcPr>
          <w:p w:rsidR="00CD7D5F" w:rsidRPr="00A0472D" w:rsidRDefault="00CD7D5F" w:rsidP="00464177">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CD7D5F" w:rsidRPr="00A0472D" w:rsidRDefault="00CD7D5F" w:rsidP="00464177">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CD7D5F" w:rsidRPr="00A0472D" w:rsidRDefault="00CD7D5F" w:rsidP="00464177">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CD7D5F" w:rsidRPr="00A0472D" w:rsidTr="00464177">
        <w:trPr>
          <w:trHeight w:val="274"/>
        </w:trPr>
        <w:tc>
          <w:tcPr>
            <w:tcW w:w="1276" w:type="dxa"/>
            <w:shd w:val="clear" w:color="auto" w:fill="FFFFFF" w:themeFill="background1"/>
          </w:tcPr>
          <w:p w:rsidR="00CD7D5F" w:rsidRPr="00A0472D" w:rsidRDefault="00CD7D5F" w:rsidP="00464177">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CD7D5F" w:rsidRPr="00A0472D" w:rsidRDefault="00CD7D5F" w:rsidP="00464177">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CD7D5F" w:rsidRPr="00A0472D" w:rsidRDefault="00CD7D5F" w:rsidP="00464177">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CD7D5F" w:rsidRPr="00A0472D" w:rsidTr="00464177">
        <w:trPr>
          <w:trHeight w:val="274"/>
        </w:trPr>
        <w:tc>
          <w:tcPr>
            <w:tcW w:w="1276" w:type="dxa"/>
            <w:shd w:val="clear" w:color="auto" w:fill="FFFFFF" w:themeFill="background1"/>
          </w:tcPr>
          <w:p w:rsidR="00CD7D5F" w:rsidRPr="00A0472D" w:rsidRDefault="00CD7D5F" w:rsidP="00464177">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CD7D5F" w:rsidRPr="00A0472D" w:rsidRDefault="00CD7D5F" w:rsidP="00464177">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CD7D5F" w:rsidRPr="00A0472D" w:rsidRDefault="00CD7D5F" w:rsidP="00464177">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CD7D5F" w:rsidRPr="00A0472D" w:rsidTr="00464177">
        <w:trPr>
          <w:trHeight w:val="274"/>
        </w:trPr>
        <w:tc>
          <w:tcPr>
            <w:tcW w:w="1276" w:type="dxa"/>
            <w:tcBorders>
              <w:bottom w:val="single" w:sz="4" w:space="0" w:color="auto"/>
            </w:tcBorders>
            <w:shd w:val="clear" w:color="auto" w:fill="FFFFFF" w:themeFill="background1"/>
          </w:tcPr>
          <w:p w:rsidR="00CD7D5F" w:rsidRPr="00A0472D" w:rsidRDefault="00CD7D5F" w:rsidP="00464177">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CD7D5F" w:rsidRPr="00A0472D" w:rsidRDefault="00CD7D5F" w:rsidP="00464177">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CD7D5F" w:rsidRPr="00A0472D" w:rsidRDefault="00CD7D5F" w:rsidP="00464177">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CD7D5F" w:rsidRPr="00A0472D" w:rsidTr="00464177">
        <w:trPr>
          <w:trHeight w:val="274"/>
        </w:trPr>
        <w:tc>
          <w:tcPr>
            <w:tcW w:w="1276" w:type="dxa"/>
            <w:shd w:val="clear" w:color="auto" w:fill="FFFFFF" w:themeFill="background1"/>
          </w:tcPr>
          <w:p w:rsidR="00CD7D5F" w:rsidRPr="008152C4" w:rsidRDefault="00CD7D5F" w:rsidP="00464177">
            <w:pPr>
              <w:spacing w:after="0" w:line="20" w:lineRule="atLeast"/>
              <w:rPr>
                <w:sz w:val="18"/>
                <w:szCs w:val="18"/>
              </w:rPr>
            </w:pPr>
            <w:r>
              <w:rPr>
                <w:sz w:val="18"/>
                <w:szCs w:val="18"/>
              </w:rPr>
              <w:t>KIT</w:t>
            </w:r>
          </w:p>
        </w:tc>
        <w:tc>
          <w:tcPr>
            <w:tcW w:w="1418" w:type="dxa"/>
            <w:shd w:val="clear" w:color="auto" w:fill="FFFFFF" w:themeFill="background1"/>
          </w:tcPr>
          <w:p w:rsidR="00CD7D5F" w:rsidRPr="008152C4" w:rsidRDefault="00CD7D5F" w:rsidP="00464177">
            <w:pPr>
              <w:spacing w:after="0" w:line="20" w:lineRule="atLeast"/>
              <w:rPr>
                <w:sz w:val="18"/>
                <w:szCs w:val="18"/>
              </w:rPr>
            </w:pPr>
            <w:r w:rsidRPr="008152C4">
              <w:rPr>
                <w:sz w:val="18"/>
                <w:szCs w:val="18"/>
              </w:rPr>
              <w:t>Innovation</w:t>
            </w:r>
          </w:p>
        </w:tc>
        <w:tc>
          <w:tcPr>
            <w:tcW w:w="5670" w:type="dxa"/>
            <w:shd w:val="clear" w:color="auto" w:fill="FFFFFF" w:themeFill="background1"/>
          </w:tcPr>
          <w:p w:rsidR="00CD7D5F" w:rsidRPr="008152C4" w:rsidRDefault="00CD7D5F" w:rsidP="00464177">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CD7D5F" w:rsidRPr="00A0472D" w:rsidTr="00464177">
        <w:trPr>
          <w:trHeight w:val="274"/>
        </w:trPr>
        <w:tc>
          <w:tcPr>
            <w:tcW w:w="1276" w:type="dxa"/>
            <w:shd w:val="clear" w:color="auto" w:fill="FFFFFF" w:themeFill="background1"/>
          </w:tcPr>
          <w:p w:rsidR="00CD7D5F" w:rsidRPr="00A0472D" w:rsidRDefault="00CD7D5F" w:rsidP="00464177">
            <w:pPr>
              <w:spacing w:after="0" w:line="20" w:lineRule="atLeast"/>
              <w:rPr>
                <w:sz w:val="18"/>
                <w:szCs w:val="18"/>
              </w:rPr>
            </w:pPr>
            <w:r w:rsidRPr="008152C4">
              <w:rPr>
                <w:sz w:val="18"/>
                <w:szCs w:val="18"/>
              </w:rPr>
              <w:t>SGPTD</w:t>
            </w:r>
          </w:p>
        </w:tc>
        <w:tc>
          <w:tcPr>
            <w:tcW w:w="1418" w:type="dxa"/>
            <w:shd w:val="clear" w:color="auto" w:fill="FFFFFF" w:themeFill="background1"/>
          </w:tcPr>
          <w:p w:rsidR="00CD7D5F" w:rsidRPr="00A0472D" w:rsidRDefault="00CD7D5F" w:rsidP="00464177">
            <w:pPr>
              <w:spacing w:after="0" w:line="20" w:lineRule="atLeast"/>
              <w:rPr>
                <w:sz w:val="18"/>
                <w:szCs w:val="18"/>
              </w:rPr>
            </w:pPr>
            <w:r w:rsidRPr="008152C4">
              <w:rPr>
                <w:sz w:val="18"/>
                <w:szCs w:val="18"/>
              </w:rPr>
              <w:t>Growth poles</w:t>
            </w:r>
          </w:p>
        </w:tc>
        <w:tc>
          <w:tcPr>
            <w:tcW w:w="5670" w:type="dxa"/>
            <w:shd w:val="clear" w:color="auto" w:fill="FFFFFF" w:themeFill="background1"/>
          </w:tcPr>
          <w:p w:rsidR="00CD7D5F" w:rsidRPr="00A0472D" w:rsidRDefault="00CD7D5F" w:rsidP="00464177">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CD7D5F" w:rsidRPr="00F50ABF" w:rsidTr="00464177">
        <w:trPr>
          <w:trHeight w:val="274"/>
        </w:trPr>
        <w:tc>
          <w:tcPr>
            <w:tcW w:w="1276" w:type="dxa"/>
            <w:shd w:val="clear" w:color="auto" w:fill="FFFFFF" w:themeFill="background1"/>
          </w:tcPr>
          <w:p w:rsidR="00CD7D5F" w:rsidRPr="00A0472D" w:rsidRDefault="00CD7D5F" w:rsidP="00464177">
            <w:pPr>
              <w:spacing w:after="0" w:line="20" w:lineRule="atLeast"/>
              <w:rPr>
                <w:sz w:val="18"/>
                <w:szCs w:val="18"/>
              </w:rPr>
            </w:pPr>
            <w:r>
              <w:rPr>
                <w:sz w:val="18"/>
                <w:szCs w:val="18"/>
              </w:rPr>
              <w:t>EURO-ISLANDS</w:t>
            </w:r>
          </w:p>
        </w:tc>
        <w:tc>
          <w:tcPr>
            <w:tcW w:w="1418" w:type="dxa"/>
            <w:shd w:val="clear" w:color="auto" w:fill="FFFFFF" w:themeFill="background1"/>
          </w:tcPr>
          <w:p w:rsidR="00CD7D5F" w:rsidRPr="00A0472D" w:rsidRDefault="00CD7D5F" w:rsidP="00464177">
            <w:pPr>
              <w:spacing w:after="0" w:line="20" w:lineRule="atLeast"/>
              <w:rPr>
                <w:sz w:val="18"/>
                <w:szCs w:val="18"/>
              </w:rPr>
            </w:pPr>
            <w:r>
              <w:rPr>
                <w:sz w:val="18"/>
                <w:szCs w:val="18"/>
              </w:rPr>
              <w:t>Islands</w:t>
            </w:r>
          </w:p>
        </w:tc>
        <w:tc>
          <w:tcPr>
            <w:tcW w:w="5670" w:type="dxa"/>
            <w:shd w:val="clear" w:color="auto" w:fill="FFFFFF" w:themeFill="background1"/>
          </w:tcPr>
          <w:p w:rsidR="00CD7D5F" w:rsidRPr="00A0472D" w:rsidRDefault="00CD7D5F" w:rsidP="00464177">
            <w:pPr>
              <w:spacing w:after="0" w:line="20" w:lineRule="atLeast"/>
              <w:rPr>
                <w:sz w:val="18"/>
                <w:szCs w:val="18"/>
              </w:rPr>
            </w:pPr>
            <w:r w:rsidRPr="001A28E2">
              <w:rPr>
                <w:sz w:val="18"/>
                <w:szCs w:val="18"/>
              </w:rPr>
              <w:t>It gives evidence on the divergence of island's situation from the European average and on existing policy measures for the islands.</w:t>
            </w:r>
            <w:r>
              <w:rPr>
                <w:sz w:val="18"/>
                <w:szCs w:val="18"/>
              </w:rPr>
              <w:t xml:space="preserve"> </w:t>
            </w:r>
            <w:r w:rsidRPr="00F50ABF">
              <w:rPr>
                <w:sz w:val="18"/>
                <w:szCs w:val="18"/>
              </w:rPr>
              <w:t>It focuses on Greek islands in Ionian sea (see from map 3 to 7).</w:t>
            </w:r>
          </w:p>
        </w:tc>
      </w:tr>
    </w:tbl>
    <w:p w:rsidR="00CD7D5F" w:rsidRDefault="00CD7D5F" w:rsidP="00CD7D5F">
      <w:pPr>
        <w:spacing w:before="240"/>
      </w:pPr>
      <w:r>
        <w:t>Furthermore, some of overall ESPON products of particular interest for territorial cooperation are:</w:t>
      </w:r>
    </w:p>
    <w:p w:rsidR="00CD7D5F" w:rsidRDefault="00CD7D5F" w:rsidP="00CD7D5F">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CD7D5F" w:rsidRDefault="00CD7D5F" w:rsidP="00CD7D5F">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CD7D5F" w:rsidRPr="00A33083" w:rsidRDefault="00CD7D5F" w:rsidP="00CD7D5F">
      <w:pPr>
        <w:pStyle w:val="ListParagraph"/>
        <w:numPr>
          <w:ilvl w:val="0"/>
          <w:numId w:val="4"/>
        </w:numPr>
      </w:pPr>
      <w:r w:rsidRPr="00112693">
        <w:rPr>
          <w:b/>
        </w:rPr>
        <w:t>ESPON 2013 Database</w:t>
      </w:r>
      <w:r w:rsidRPr="00A33083">
        <w:t xml:space="preserve"> provides regional information provided by </w:t>
      </w:r>
      <w:hyperlink r:id="rId22" w:history="1">
        <w:r w:rsidRPr="00A33083">
          <w:t>ESPON projects</w:t>
        </w:r>
      </w:hyperlink>
      <w:r w:rsidRPr="00A33083">
        <w:t xml:space="preserve"> and </w:t>
      </w:r>
      <w:hyperlink r:id="rId23" w:history="1">
        <w:r w:rsidRPr="00A33083">
          <w:t>EUROSTAT</w:t>
        </w:r>
      </w:hyperlink>
      <w:r w:rsidRPr="00A33083">
        <w:t xml:space="preserve">. </w:t>
      </w:r>
    </w:p>
    <w:p w:rsidR="00CD7D5F" w:rsidRDefault="00CD7D5F" w:rsidP="00CD7D5F">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CD7D5F" w:rsidRPr="00CD642B" w:rsidRDefault="00CD7D5F" w:rsidP="00CD7D5F">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CD7D5F" w:rsidRDefault="00CD7D5F" w:rsidP="00CD7D5F">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0914CF" w:rsidRDefault="00CD7D5F" w:rsidP="00A4012E">
      <w:pPr>
        <w:jc w:val="center"/>
      </w:pPr>
      <w:r w:rsidRPr="00CD642B">
        <w:t>All ESPON reports and tools are freely available at</w:t>
      </w:r>
      <w:r>
        <w:br/>
      </w:r>
      <w:r w:rsidRPr="00CD642B">
        <w:rPr>
          <w:b/>
        </w:rPr>
        <w:t>www.espon.eu</w:t>
      </w:r>
    </w:p>
    <w:p w:rsidR="000914CF" w:rsidRDefault="000914CF" w:rsidP="005A5FC4"/>
    <w:p w:rsidR="000914CF" w:rsidRPr="005A5FC4" w:rsidRDefault="000914CF" w:rsidP="005A5FC4"/>
    <w:p w:rsidR="000914CF" w:rsidRPr="00127102" w:rsidRDefault="00914E73" w:rsidP="00BC65E1">
      <w:pPr>
        <w:pStyle w:val="ESPONText"/>
        <w:rPr>
          <w:rFonts w:ascii="Arial" w:hAnsi="Arial" w:cs="Arial"/>
        </w:rPr>
      </w:pPr>
      <w:r>
        <w:rPr>
          <w:noProof/>
          <w:lang w:val="en-US" w:eastAsia="en-US"/>
        </w:rPr>
        <w:lastRenderedPageBreak/>
        <w:drawing>
          <wp:anchor distT="0" distB="0" distL="114300" distR="114300" simplePos="0" relativeHeight="251651072"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5"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4" cstate="print"/>
                    <a:srcRect r="50919"/>
                    <a:stretch>
                      <a:fillRect/>
                    </a:stretch>
                  </pic:blipFill>
                  <pic:spPr bwMode="auto">
                    <a:xfrm>
                      <a:off x="0" y="0"/>
                      <a:ext cx="7594600" cy="10692130"/>
                    </a:xfrm>
                    <a:prstGeom prst="rect">
                      <a:avLst/>
                    </a:prstGeom>
                    <a:noFill/>
                  </pic:spPr>
                </pic:pic>
              </a:graphicData>
            </a:graphic>
          </wp:anchor>
        </w:drawing>
      </w:r>
      <w:r w:rsidR="00381695" w:rsidRPr="00381695">
        <w:rPr>
          <w:noProof/>
          <w:lang w:val="hu-HU" w:eastAsia="hu-HU"/>
        </w:rPr>
        <w:pict>
          <v:shapetype id="_x0000_t202" coordsize="21600,21600" o:spt="202" path="m,l,21600r21600,l21600,xe">
            <v:stroke joinstyle="miter"/>
            <v:path gradientshapeok="t" o:connecttype="rect"/>
          </v:shapetype>
          <v:shape id="Text Box 2" o:spid="_x0000_s1041" type="#_x0000_t202" style="position:absolute;left:0;text-align:left;margin-left:-36.1pt;margin-top:-301.9pt;width:228pt;height:141.1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027429" w:rsidRPr="00FB783A" w:rsidRDefault="00027429"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0914CF" w:rsidRPr="00127102" w:rsidSect="00C33A99">
      <w:headerReference w:type="default" r:id="rId25"/>
      <w:footerReference w:type="default" r:id="rId26"/>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16C" w:rsidRDefault="00A0616C">
      <w:r>
        <w:separator/>
      </w:r>
    </w:p>
  </w:endnote>
  <w:endnote w:type="continuationSeparator" w:id="0">
    <w:p w:rsidR="00A0616C" w:rsidRDefault="00A061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29" w:rsidRDefault="00381695" w:rsidP="00BC65E1">
    <w:pPr>
      <w:framePr w:wrap="around" w:vAnchor="text" w:hAnchor="margin" w:xAlign="right" w:y="1"/>
      <w:rPr>
        <w:rStyle w:val="PageNumber"/>
      </w:rPr>
    </w:pPr>
    <w:r>
      <w:rPr>
        <w:rStyle w:val="PageNumber"/>
      </w:rPr>
      <w:fldChar w:fldCharType="begin"/>
    </w:r>
    <w:r w:rsidR="00027429">
      <w:rPr>
        <w:rStyle w:val="PageNumber"/>
      </w:rPr>
      <w:instrText xml:space="preserve">PAGE  </w:instrText>
    </w:r>
    <w:r>
      <w:rPr>
        <w:rStyle w:val="PageNumber"/>
      </w:rPr>
      <w:fldChar w:fldCharType="separate"/>
    </w:r>
    <w:r w:rsidR="00027429">
      <w:rPr>
        <w:rStyle w:val="PageNumber"/>
        <w:noProof/>
      </w:rPr>
      <w:t>3</w:t>
    </w:r>
    <w:r>
      <w:rPr>
        <w:rStyle w:val="PageNumber"/>
      </w:rPr>
      <w:fldChar w:fldCharType="end"/>
    </w:r>
  </w:p>
  <w:p w:rsidR="00027429" w:rsidRDefault="00027429">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29" w:rsidRPr="00A15B61" w:rsidRDefault="00381695" w:rsidP="00BC65E1">
    <w:pPr>
      <w:pStyle w:val="Footer"/>
      <w:framePr w:wrap="around" w:vAnchor="text" w:hAnchor="margin" w:xAlign="right" w:y="1"/>
      <w:rPr>
        <w:rStyle w:val="PageNumber"/>
      </w:rPr>
    </w:pPr>
    <w:r>
      <w:rPr>
        <w:rStyle w:val="PageNumber"/>
        <w:szCs w:val="20"/>
      </w:rPr>
      <w:fldChar w:fldCharType="begin"/>
    </w:r>
    <w:r w:rsidR="00027429">
      <w:rPr>
        <w:rStyle w:val="PageNumber"/>
        <w:szCs w:val="20"/>
      </w:rPr>
      <w:instrText>PAGE</w:instrText>
    </w:r>
    <w:r w:rsidR="00027429" w:rsidRPr="00A15B61">
      <w:rPr>
        <w:rStyle w:val="PageNumber"/>
        <w:szCs w:val="20"/>
      </w:rPr>
      <w:instrText xml:space="preserve">  </w:instrText>
    </w:r>
    <w:r>
      <w:rPr>
        <w:rStyle w:val="PageNumber"/>
        <w:szCs w:val="20"/>
      </w:rPr>
      <w:fldChar w:fldCharType="separate"/>
    </w:r>
    <w:r w:rsidR="00D34A3A">
      <w:rPr>
        <w:rStyle w:val="PageNumber"/>
        <w:noProof/>
        <w:szCs w:val="20"/>
      </w:rPr>
      <w:t>1</w:t>
    </w:r>
    <w:r>
      <w:rPr>
        <w:rStyle w:val="PageNumber"/>
        <w:szCs w:val="20"/>
      </w:rPr>
      <w:fldChar w:fldCharType="end"/>
    </w:r>
  </w:p>
  <w:p w:rsidR="00027429" w:rsidRPr="00A15B61" w:rsidRDefault="00027429"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29" w:rsidRPr="00A15B61" w:rsidRDefault="00381695" w:rsidP="00BC65E1">
    <w:pPr>
      <w:pStyle w:val="Footer"/>
      <w:framePr w:wrap="around" w:vAnchor="text" w:hAnchor="margin" w:xAlign="right" w:y="1"/>
      <w:rPr>
        <w:rStyle w:val="PageNumber"/>
      </w:rPr>
    </w:pPr>
    <w:r>
      <w:rPr>
        <w:rStyle w:val="PageNumber"/>
        <w:szCs w:val="20"/>
      </w:rPr>
      <w:fldChar w:fldCharType="begin"/>
    </w:r>
    <w:r w:rsidR="00027429">
      <w:rPr>
        <w:rStyle w:val="PageNumber"/>
        <w:szCs w:val="20"/>
      </w:rPr>
      <w:instrText>PAGE</w:instrText>
    </w:r>
    <w:r w:rsidR="00027429" w:rsidRPr="00A15B61">
      <w:rPr>
        <w:rStyle w:val="PageNumber"/>
        <w:szCs w:val="20"/>
      </w:rPr>
      <w:instrText xml:space="preserve">  </w:instrText>
    </w:r>
    <w:r>
      <w:rPr>
        <w:rStyle w:val="PageNumber"/>
        <w:szCs w:val="20"/>
      </w:rPr>
      <w:fldChar w:fldCharType="separate"/>
    </w:r>
    <w:r w:rsidR="004D6A26">
      <w:rPr>
        <w:rStyle w:val="PageNumber"/>
        <w:noProof/>
        <w:szCs w:val="20"/>
      </w:rPr>
      <w:t>16</w:t>
    </w:r>
    <w:r>
      <w:rPr>
        <w:rStyle w:val="PageNumber"/>
        <w:szCs w:val="20"/>
      </w:rPr>
      <w:fldChar w:fldCharType="end"/>
    </w:r>
  </w:p>
  <w:p w:rsidR="00027429" w:rsidRPr="00A15B61" w:rsidRDefault="00027429"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16C" w:rsidRDefault="00A0616C">
      <w:r>
        <w:separator/>
      </w:r>
    </w:p>
  </w:footnote>
  <w:footnote w:type="continuationSeparator" w:id="0">
    <w:p w:rsidR="00A0616C" w:rsidRDefault="00A061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29" w:rsidRDefault="00381695">
    <w:pPr>
      <w:pStyle w:val="Header"/>
    </w:pPr>
    <w:r w:rsidRPr="00381695">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027429" w:rsidRDefault="00027429"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027429" w:rsidRPr="00721B03" w:rsidRDefault="00027429"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027429">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29" w:rsidRDefault="000274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27429"/>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904ED"/>
    <w:rsid w:val="000914CF"/>
    <w:rsid w:val="000974EE"/>
    <w:rsid w:val="000A0B9B"/>
    <w:rsid w:val="000A0F69"/>
    <w:rsid w:val="000A647A"/>
    <w:rsid w:val="000B3819"/>
    <w:rsid w:val="000B4718"/>
    <w:rsid w:val="000B58AA"/>
    <w:rsid w:val="000B7618"/>
    <w:rsid w:val="000B7A7D"/>
    <w:rsid w:val="000B7F4E"/>
    <w:rsid w:val="000C36A1"/>
    <w:rsid w:val="000C4070"/>
    <w:rsid w:val="000C716F"/>
    <w:rsid w:val="000D0D18"/>
    <w:rsid w:val="000D3299"/>
    <w:rsid w:val="000D57C9"/>
    <w:rsid w:val="000D7CC4"/>
    <w:rsid w:val="000E6CC8"/>
    <w:rsid w:val="000E76EB"/>
    <w:rsid w:val="000F1BA2"/>
    <w:rsid w:val="000F2140"/>
    <w:rsid w:val="000F426A"/>
    <w:rsid w:val="00104631"/>
    <w:rsid w:val="00105B9D"/>
    <w:rsid w:val="00112060"/>
    <w:rsid w:val="001120BB"/>
    <w:rsid w:val="00112693"/>
    <w:rsid w:val="0011785C"/>
    <w:rsid w:val="0012533B"/>
    <w:rsid w:val="001260F4"/>
    <w:rsid w:val="00126FC2"/>
    <w:rsid w:val="00127102"/>
    <w:rsid w:val="00127104"/>
    <w:rsid w:val="00132FDD"/>
    <w:rsid w:val="00133602"/>
    <w:rsid w:val="00134DC7"/>
    <w:rsid w:val="0013600B"/>
    <w:rsid w:val="00147567"/>
    <w:rsid w:val="001507D7"/>
    <w:rsid w:val="00150A5A"/>
    <w:rsid w:val="00150FCB"/>
    <w:rsid w:val="00151954"/>
    <w:rsid w:val="00152974"/>
    <w:rsid w:val="00153108"/>
    <w:rsid w:val="0015691A"/>
    <w:rsid w:val="00157B13"/>
    <w:rsid w:val="00162FF6"/>
    <w:rsid w:val="00163087"/>
    <w:rsid w:val="0016435C"/>
    <w:rsid w:val="00172B99"/>
    <w:rsid w:val="00177F91"/>
    <w:rsid w:val="00180D67"/>
    <w:rsid w:val="00182673"/>
    <w:rsid w:val="001838FE"/>
    <w:rsid w:val="00184B93"/>
    <w:rsid w:val="001907DA"/>
    <w:rsid w:val="00191F3D"/>
    <w:rsid w:val="001929F2"/>
    <w:rsid w:val="00192A23"/>
    <w:rsid w:val="0019394E"/>
    <w:rsid w:val="00193F6F"/>
    <w:rsid w:val="001A0A8D"/>
    <w:rsid w:val="001A30F4"/>
    <w:rsid w:val="001A42AD"/>
    <w:rsid w:val="001A7669"/>
    <w:rsid w:val="001A77EC"/>
    <w:rsid w:val="001B0021"/>
    <w:rsid w:val="001B0526"/>
    <w:rsid w:val="001B13B6"/>
    <w:rsid w:val="001B300C"/>
    <w:rsid w:val="001B6A94"/>
    <w:rsid w:val="001C043A"/>
    <w:rsid w:val="001C0C1D"/>
    <w:rsid w:val="001C0F06"/>
    <w:rsid w:val="001C4CA6"/>
    <w:rsid w:val="001C7CD0"/>
    <w:rsid w:val="001D0F57"/>
    <w:rsid w:val="001D187B"/>
    <w:rsid w:val="001D594F"/>
    <w:rsid w:val="001E03F4"/>
    <w:rsid w:val="001E0ECB"/>
    <w:rsid w:val="001E2507"/>
    <w:rsid w:val="001E4F95"/>
    <w:rsid w:val="001E5F4A"/>
    <w:rsid w:val="001F0A8E"/>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428B"/>
    <w:rsid w:val="002371D8"/>
    <w:rsid w:val="00240760"/>
    <w:rsid w:val="00247DCC"/>
    <w:rsid w:val="00253237"/>
    <w:rsid w:val="00253539"/>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0E97"/>
    <w:rsid w:val="002A15B2"/>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3D45"/>
    <w:rsid w:val="002E529A"/>
    <w:rsid w:val="002E619E"/>
    <w:rsid w:val="002F1D75"/>
    <w:rsid w:val="002F4B38"/>
    <w:rsid w:val="002F713F"/>
    <w:rsid w:val="003003A2"/>
    <w:rsid w:val="00303833"/>
    <w:rsid w:val="00304555"/>
    <w:rsid w:val="00304A46"/>
    <w:rsid w:val="003052B2"/>
    <w:rsid w:val="0030699A"/>
    <w:rsid w:val="00310EF9"/>
    <w:rsid w:val="003121B6"/>
    <w:rsid w:val="00322B33"/>
    <w:rsid w:val="003253E2"/>
    <w:rsid w:val="00333C82"/>
    <w:rsid w:val="003351B4"/>
    <w:rsid w:val="00337519"/>
    <w:rsid w:val="00337872"/>
    <w:rsid w:val="00344591"/>
    <w:rsid w:val="003445A4"/>
    <w:rsid w:val="00351255"/>
    <w:rsid w:val="00351563"/>
    <w:rsid w:val="003526D5"/>
    <w:rsid w:val="00352B1D"/>
    <w:rsid w:val="00352D76"/>
    <w:rsid w:val="00353B5C"/>
    <w:rsid w:val="0035504D"/>
    <w:rsid w:val="00362CD8"/>
    <w:rsid w:val="00362D4C"/>
    <w:rsid w:val="0036462C"/>
    <w:rsid w:val="00371DBA"/>
    <w:rsid w:val="0037366C"/>
    <w:rsid w:val="00373AFF"/>
    <w:rsid w:val="0037440D"/>
    <w:rsid w:val="00376B51"/>
    <w:rsid w:val="00381695"/>
    <w:rsid w:val="00383954"/>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4C2F"/>
    <w:rsid w:val="003E56F6"/>
    <w:rsid w:val="003E7A75"/>
    <w:rsid w:val="003F0688"/>
    <w:rsid w:val="003F17C7"/>
    <w:rsid w:val="003F196C"/>
    <w:rsid w:val="003F6066"/>
    <w:rsid w:val="00401DDB"/>
    <w:rsid w:val="004024D3"/>
    <w:rsid w:val="00402955"/>
    <w:rsid w:val="004043C4"/>
    <w:rsid w:val="004047DE"/>
    <w:rsid w:val="00404925"/>
    <w:rsid w:val="004054C3"/>
    <w:rsid w:val="0040760B"/>
    <w:rsid w:val="00410A29"/>
    <w:rsid w:val="004122A0"/>
    <w:rsid w:val="00412C19"/>
    <w:rsid w:val="00416B9D"/>
    <w:rsid w:val="004173E4"/>
    <w:rsid w:val="004177FC"/>
    <w:rsid w:val="00422212"/>
    <w:rsid w:val="0042391C"/>
    <w:rsid w:val="0042502E"/>
    <w:rsid w:val="00433090"/>
    <w:rsid w:val="004353CB"/>
    <w:rsid w:val="0044029A"/>
    <w:rsid w:val="00443CD7"/>
    <w:rsid w:val="00445A8A"/>
    <w:rsid w:val="0044604E"/>
    <w:rsid w:val="00447210"/>
    <w:rsid w:val="004501AE"/>
    <w:rsid w:val="00454825"/>
    <w:rsid w:val="00456E90"/>
    <w:rsid w:val="004604F3"/>
    <w:rsid w:val="004609BE"/>
    <w:rsid w:val="0046572E"/>
    <w:rsid w:val="00467598"/>
    <w:rsid w:val="00470A8B"/>
    <w:rsid w:val="00472744"/>
    <w:rsid w:val="00473131"/>
    <w:rsid w:val="00475DCB"/>
    <w:rsid w:val="004778EB"/>
    <w:rsid w:val="00477CEB"/>
    <w:rsid w:val="0048039B"/>
    <w:rsid w:val="004854D1"/>
    <w:rsid w:val="00485672"/>
    <w:rsid w:val="00485FC6"/>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61B9"/>
    <w:rsid w:val="004C71AB"/>
    <w:rsid w:val="004C764D"/>
    <w:rsid w:val="004D2437"/>
    <w:rsid w:val="004D6A26"/>
    <w:rsid w:val="004D6E70"/>
    <w:rsid w:val="004E11D0"/>
    <w:rsid w:val="004E391C"/>
    <w:rsid w:val="004E39BD"/>
    <w:rsid w:val="004E3B1D"/>
    <w:rsid w:val="004F0F17"/>
    <w:rsid w:val="004F20C5"/>
    <w:rsid w:val="004F26B8"/>
    <w:rsid w:val="004F4013"/>
    <w:rsid w:val="004F6946"/>
    <w:rsid w:val="004F6C1D"/>
    <w:rsid w:val="005023B0"/>
    <w:rsid w:val="00502D0D"/>
    <w:rsid w:val="00502E0A"/>
    <w:rsid w:val="0050484B"/>
    <w:rsid w:val="00505959"/>
    <w:rsid w:val="005070C8"/>
    <w:rsid w:val="00511059"/>
    <w:rsid w:val="005131EA"/>
    <w:rsid w:val="00513314"/>
    <w:rsid w:val="00524215"/>
    <w:rsid w:val="00526E5A"/>
    <w:rsid w:val="005322AA"/>
    <w:rsid w:val="00541834"/>
    <w:rsid w:val="0054220D"/>
    <w:rsid w:val="005423A5"/>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2FD7"/>
    <w:rsid w:val="005A3E20"/>
    <w:rsid w:val="005A5FC4"/>
    <w:rsid w:val="005A73D9"/>
    <w:rsid w:val="005A7DFC"/>
    <w:rsid w:val="005B3722"/>
    <w:rsid w:val="005C108D"/>
    <w:rsid w:val="005C58DE"/>
    <w:rsid w:val="005C6D17"/>
    <w:rsid w:val="005D0C21"/>
    <w:rsid w:val="005D0E23"/>
    <w:rsid w:val="005D1921"/>
    <w:rsid w:val="005D2D0B"/>
    <w:rsid w:val="005D53EE"/>
    <w:rsid w:val="005D621D"/>
    <w:rsid w:val="005D78FE"/>
    <w:rsid w:val="005E463C"/>
    <w:rsid w:val="005E4E4C"/>
    <w:rsid w:val="005E5F18"/>
    <w:rsid w:val="005E6290"/>
    <w:rsid w:val="005E7C8E"/>
    <w:rsid w:val="005F24DD"/>
    <w:rsid w:val="005F7BDC"/>
    <w:rsid w:val="0060091E"/>
    <w:rsid w:val="00610DAB"/>
    <w:rsid w:val="0061660C"/>
    <w:rsid w:val="00616DE9"/>
    <w:rsid w:val="0061757F"/>
    <w:rsid w:val="006213A9"/>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5F2"/>
    <w:rsid w:val="00695762"/>
    <w:rsid w:val="006A17A6"/>
    <w:rsid w:val="006A30AF"/>
    <w:rsid w:val="006A3291"/>
    <w:rsid w:val="006A5610"/>
    <w:rsid w:val="006A5F96"/>
    <w:rsid w:val="006A7FE2"/>
    <w:rsid w:val="006B48FD"/>
    <w:rsid w:val="006B59A1"/>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7FF"/>
    <w:rsid w:val="00716E65"/>
    <w:rsid w:val="007172A4"/>
    <w:rsid w:val="0072114B"/>
    <w:rsid w:val="00721B03"/>
    <w:rsid w:val="007244F6"/>
    <w:rsid w:val="00724928"/>
    <w:rsid w:val="00725832"/>
    <w:rsid w:val="00726D46"/>
    <w:rsid w:val="00732C90"/>
    <w:rsid w:val="007370BC"/>
    <w:rsid w:val="007375D5"/>
    <w:rsid w:val="007423B2"/>
    <w:rsid w:val="007456E2"/>
    <w:rsid w:val="00747707"/>
    <w:rsid w:val="00756A40"/>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08B"/>
    <w:rsid w:val="007949EF"/>
    <w:rsid w:val="0079633F"/>
    <w:rsid w:val="0079657F"/>
    <w:rsid w:val="00796C3C"/>
    <w:rsid w:val="00797BEC"/>
    <w:rsid w:val="007A412D"/>
    <w:rsid w:val="007A48EF"/>
    <w:rsid w:val="007A4E31"/>
    <w:rsid w:val="007A508C"/>
    <w:rsid w:val="007A5C06"/>
    <w:rsid w:val="007A5D52"/>
    <w:rsid w:val="007A5E35"/>
    <w:rsid w:val="007B09FE"/>
    <w:rsid w:val="007B1476"/>
    <w:rsid w:val="007B19A0"/>
    <w:rsid w:val="007B59B6"/>
    <w:rsid w:val="007B7ADB"/>
    <w:rsid w:val="007C4F8C"/>
    <w:rsid w:val="007C52E9"/>
    <w:rsid w:val="007E2555"/>
    <w:rsid w:val="007E3756"/>
    <w:rsid w:val="007F16DF"/>
    <w:rsid w:val="007F2A06"/>
    <w:rsid w:val="007F3142"/>
    <w:rsid w:val="008044DD"/>
    <w:rsid w:val="00804BA1"/>
    <w:rsid w:val="00805E5D"/>
    <w:rsid w:val="00811469"/>
    <w:rsid w:val="00812490"/>
    <w:rsid w:val="00812ECD"/>
    <w:rsid w:val="008132AD"/>
    <w:rsid w:val="008227CC"/>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60A68"/>
    <w:rsid w:val="008672D8"/>
    <w:rsid w:val="00871839"/>
    <w:rsid w:val="00875551"/>
    <w:rsid w:val="00876AC8"/>
    <w:rsid w:val="008829C7"/>
    <w:rsid w:val="00882F9C"/>
    <w:rsid w:val="00885028"/>
    <w:rsid w:val="00886C11"/>
    <w:rsid w:val="00891455"/>
    <w:rsid w:val="0089569C"/>
    <w:rsid w:val="00895E5B"/>
    <w:rsid w:val="00896802"/>
    <w:rsid w:val="008A3B96"/>
    <w:rsid w:val="008A58B3"/>
    <w:rsid w:val="008A63DF"/>
    <w:rsid w:val="008A68FF"/>
    <w:rsid w:val="008B1002"/>
    <w:rsid w:val="008B2C0A"/>
    <w:rsid w:val="008B582B"/>
    <w:rsid w:val="008B5A1E"/>
    <w:rsid w:val="008B5BDF"/>
    <w:rsid w:val="008C226C"/>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14E73"/>
    <w:rsid w:val="00921D38"/>
    <w:rsid w:val="0092562C"/>
    <w:rsid w:val="00927D4F"/>
    <w:rsid w:val="00931A61"/>
    <w:rsid w:val="0093778A"/>
    <w:rsid w:val="0094059F"/>
    <w:rsid w:val="00943F1C"/>
    <w:rsid w:val="00946375"/>
    <w:rsid w:val="00951B33"/>
    <w:rsid w:val="00952C12"/>
    <w:rsid w:val="009540EB"/>
    <w:rsid w:val="009607D7"/>
    <w:rsid w:val="009673A8"/>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92C"/>
    <w:rsid w:val="009B7A1B"/>
    <w:rsid w:val="009C0409"/>
    <w:rsid w:val="009C12E9"/>
    <w:rsid w:val="009C7498"/>
    <w:rsid w:val="009C7E22"/>
    <w:rsid w:val="009D1667"/>
    <w:rsid w:val="009D1D06"/>
    <w:rsid w:val="009D22EC"/>
    <w:rsid w:val="009D2E8A"/>
    <w:rsid w:val="009D3B18"/>
    <w:rsid w:val="009D3F39"/>
    <w:rsid w:val="009D457D"/>
    <w:rsid w:val="009D681C"/>
    <w:rsid w:val="009E0BD5"/>
    <w:rsid w:val="009E1C7F"/>
    <w:rsid w:val="009E361D"/>
    <w:rsid w:val="009E43EA"/>
    <w:rsid w:val="009E51E3"/>
    <w:rsid w:val="009E5720"/>
    <w:rsid w:val="009E62EA"/>
    <w:rsid w:val="009E70A1"/>
    <w:rsid w:val="009F21F0"/>
    <w:rsid w:val="009F2583"/>
    <w:rsid w:val="009F3D83"/>
    <w:rsid w:val="009F7417"/>
    <w:rsid w:val="009F77A8"/>
    <w:rsid w:val="00A02FD6"/>
    <w:rsid w:val="00A0472D"/>
    <w:rsid w:val="00A0616C"/>
    <w:rsid w:val="00A06AEA"/>
    <w:rsid w:val="00A12916"/>
    <w:rsid w:val="00A13E7F"/>
    <w:rsid w:val="00A14BAC"/>
    <w:rsid w:val="00A15B61"/>
    <w:rsid w:val="00A16062"/>
    <w:rsid w:val="00A2166F"/>
    <w:rsid w:val="00A24B55"/>
    <w:rsid w:val="00A265BE"/>
    <w:rsid w:val="00A304AA"/>
    <w:rsid w:val="00A31617"/>
    <w:rsid w:val="00A33083"/>
    <w:rsid w:val="00A37956"/>
    <w:rsid w:val="00A4012E"/>
    <w:rsid w:val="00A413E0"/>
    <w:rsid w:val="00A433AA"/>
    <w:rsid w:val="00A447B6"/>
    <w:rsid w:val="00A457AA"/>
    <w:rsid w:val="00A46196"/>
    <w:rsid w:val="00A47168"/>
    <w:rsid w:val="00A55855"/>
    <w:rsid w:val="00A61620"/>
    <w:rsid w:val="00A62876"/>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0EBE"/>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75C"/>
    <w:rsid w:val="00B328F8"/>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63453"/>
    <w:rsid w:val="00B66CE7"/>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5855"/>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3D3"/>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1F4"/>
    <w:rsid w:val="00C26F3B"/>
    <w:rsid w:val="00C30BF8"/>
    <w:rsid w:val="00C32582"/>
    <w:rsid w:val="00C33A99"/>
    <w:rsid w:val="00C34A6E"/>
    <w:rsid w:val="00C421CA"/>
    <w:rsid w:val="00C46385"/>
    <w:rsid w:val="00C5084D"/>
    <w:rsid w:val="00C508D6"/>
    <w:rsid w:val="00C51A75"/>
    <w:rsid w:val="00C520E9"/>
    <w:rsid w:val="00C5255D"/>
    <w:rsid w:val="00C52960"/>
    <w:rsid w:val="00C54AB8"/>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28C9"/>
    <w:rsid w:val="00CB672B"/>
    <w:rsid w:val="00CB7211"/>
    <w:rsid w:val="00CC1A98"/>
    <w:rsid w:val="00CC43E3"/>
    <w:rsid w:val="00CC6723"/>
    <w:rsid w:val="00CC7EC5"/>
    <w:rsid w:val="00CD1FB7"/>
    <w:rsid w:val="00CD45BE"/>
    <w:rsid w:val="00CD5112"/>
    <w:rsid w:val="00CD642B"/>
    <w:rsid w:val="00CD6A77"/>
    <w:rsid w:val="00CD6FEB"/>
    <w:rsid w:val="00CD7D5F"/>
    <w:rsid w:val="00CE3069"/>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42EB"/>
    <w:rsid w:val="00D26713"/>
    <w:rsid w:val="00D318F2"/>
    <w:rsid w:val="00D32EA8"/>
    <w:rsid w:val="00D34A3A"/>
    <w:rsid w:val="00D37619"/>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F5F"/>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2024"/>
    <w:rsid w:val="00E03013"/>
    <w:rsid w:val="00E03104"/>
    <w:rsid w:val="00E03ABA"/>
    <w:rsid w:val="00E04EC2"/>
    <w:rsid w:val="00E10213"/>
    <w:rsid w:val="00E108F5"/>
    <w:rsid w:val="00E11808"/>
    <w:rsid w:val="00E11F16"/>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0B33"/>
    <w:rsid w:val="00E52669"/>
    <w:rsid w:val="00E53823"/>
    <w:rsid w:val="00E53C01"/>
    <w:rsid w:val="00E544A0"/>
    <w:rsid w:val="00E56193"/>
    <w:rsid w:val="00E564DE"/>
    <w:rsid w:val="00E576B9"/>
    <w:rsid w:val="00E57FE0"/>
    <w:rsid w:val="00E613A3"/>
    <w:rsid w:val="00E621AC"/>
    <w:rsid w:val="00E6468A"/>
    <w:rsid w:val="00E701B2"/>
    <w:rsid w:val="00E709E6"/>
    <w:rsid w:val="00E70AEC"/>
    <w:rsid w:val="00E710CB"/>
    <w:rsid w:val="00E71207"/>
    <w:rsid w:val="00E71AAB"/>
    <w:rsid w:val="00E727A7"/>
    <w:rsid w:val="00E73444"/>
    <w:rsid w:val="00E742A9"/>
    <w:rsid w:val="00E746F4"/>
    <w:rsid w:val="00E77F26"/>
    <w:rsid w:val="00E855FF"/>
    <w:rsid w:val="00E85850"/>
    <w:rsid w:val="00E93CA8"/>
    <w:rsid w:val="00E97A65"/>
    <w:rsid w:val="00EA0FFC"/>
    <w:rsid w:val="00EA337F"/>
    <w:rsid w:val="00EA5A90"/>
    <w:rsid w:val="00EB092A"/>
    <w:rsid w:val="00EB19B2"/>
    <w:rsid w:val="00EB1FF2"/>
    <w:rsid w:val="00EB4A01"/>
    <w:rsid w:val="00EB5570"/>
    <w:rsid w:val="00EB5D94"/>
    <w:rsid w:val="00EB6387"/>
    <w:rsid w:val="00EB70FA"/>
    <w:rsid w:val="00EB7D50"/>
    <w:rsid w:val="00EC4562"/>
    <w:rsid w:val="00EC6878"/>
    <w:rsid w:val="00ED077F"/>
    <w:rsid w:val="00ED1671"/>
    <w:rsid w:val="00ED236B"/>
    <w:rsid w:val="00ED58B7"/>
    <w:rsid w:val="00ED5923"/>
    <w:rsid w:val="00EE082D"/>
    <w:rsid w:val="00EE2B02"/>
    <w:rsid w:val="00EE31B3"/>
    <w:rsid w:val="00EE392C"/>
    <w:rsid w:val="00EF11A3"/>
    <w:rsid w:val="00EF6DEE"/>
    <w:rsid w:val="00F00D1F"/>
    <w:rsid w:val="00F023B8"/>
    <w:rsid w:val="00F10068"/>
    <w:rsid w:val="00F11DC3"/>
    <w:rsid w:val="00F158C5"/>
    <w:rsid w:val="00F20E21"/>
    <w:rsid w:val="00F212C3"/>
    <w:rsid w:val="00F252AD"/>
    <w:rsid w:val="00F320E8"/>
    <w:rsid w:val="00F320EF"/>
    <w:rsid w:val="00F3218A"/>
    <w:rsid w:val="00F34787"/>
    <w:rsid w:val="00F358CB"/>
    <w:rsid w:val="00F405D2"/>
    <w:rsid w:val="00F45305"/>
    <w:rsid w:val="00F47743"/>
    <w:rsid w:val="00F519FB"/>
    <w:rsid w:val="00F54E2D"/>
    <w:rsid w:val="00F566CD"/>
    <w:rsid w:val="00F57119"/>
    <w:rsid w:val="00F60CB5"/>
    <w:rsid w:val="00F70604"/>
    <w:rsid w:val="00F70635"/>
    <w:rsid w:val="00F738B9"/>
    <w:rsid w:val="00F74241"/>
    <w:rsid w:val="00F77867"/>
    <w:rsid w:val="00F77A11"/>
    <w:rsid w:val="00F77AD1"/>
    <w:rsid w:val="00F804D1"/>
    <w:rsid w:val="00F81275"/>
    <w:rsid w:val="00F8766A"/>
    <w:rsid w:val="00F92391"/>
    <w:rsid w:val="00FA0267"/>
    <w:rsid w:val="00FA0724"/>
    <w:rsid w:val="00FA1FBB"/>
    <w:rsid w:val="00FB3AD9"/>
    <w:rsid w:val="00FB783A"/>
    <w:rsid w:val="00FC08B7"/>
    <w:rsid w:val="00FC2270"/>
    <w:rsid w:val="00FC476D"/>
    <w:rsid w:val="00FC5035"/>
    <w:rsid w:val="00FC5AE6"/>
    <w:rsid w:val="00FC6A8F"/>
    <w:rsid w:val="00FD4070"/>
    <w:rsid w:val="00FD413B"/>
    <w:rsid w:val="00FD4E3A"/>
    <w:rsid w:val="00FD54FE"/>
    <w:rsid w:val="00FD6260"/>
    <w:rsid w:val="00FD70D0"/>
    <w:rsid w:val="00FE71F0"/>
    <w:rsid w:val="00FE7D95"/>
    <w:rsid w:val="00FF0482"/>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locked/>
    <w:rsid w:val="005E7C8E"/>
    <w:rPr>
      <w:rFonts w:ascii="Verdana" w:hAnsi="Verdana" w:cs="Times New Roman"/>
      <w:sz w:val="24"/>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CE3069"/>
    <w:rPr>
      <w:rFonts w:ascii="Verdana" w:hAnsi="Verdana" w:cs="Times New Roman"/>
      <w:sz w:val="24"/>
      <w:szCs w:val="24"/>
      <w:lang w:val="en-GB"/>
    </w:rPr>
  </w:style>
  <w:style w:type="table" w:styleId="TableGrid">
    <w:name w:val="Table Grid"/>
    <w:basedOn w:val="TableNormal"/>
    <w:uiPriority w:val="99"/>
    <w:rsid w:val="00CE306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E306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3069"/>
    <w:rPr>
      <w:rFonts w:ascii="Tahoma" w:hAnsi="Tahoma" w:cs="Tahoma"/>
      <w:sz w:val="16"/>
      <w:szCs w:val="16"/>
      <w:lang w:val="en-GB"/>
    </w:rPr>
  </w:style>
  <w:style w:type="character" w:styleId="FootnoteReference">
    <w:name w:val="footnote reference"/>
    <w:basedOn w:val="DefaultParagraphFont"/>
    <w:uiPriority w:val="99"/>
    <w:semiHidden/>
    <w:rsid w:val="00CE3069"/>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CE3069"/>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CE3069"/>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396049747">
      <w:bodyDiv w:val="1"/>
      <w:marLeft w:val="0"/>
      <w:marRight w:val="0"/>
      <w:marTop w:val="0"/>
      <w:marBottom w:val="0"/>
      <w:divBdr>
        <w:top w:val="none" w:sz="0" w:space="0" w:color="auto"/>
        <w:left w:val="none" w:sz="0" w:space="0" w:color="auto"/>
        <w:bottom w:val="none" w:sz="0" w:space="0" w:color="auto"/>
        <w:right w:val="none" w:sz="0" w:space="0" w:color="auto"/>
      </w:divBdr>
    </w:div>
    <w:div w:id="1099134202">
      <w:marLeft w:val="0"/>
      <w:marRight w:val="0"/>
      <w:marTop w:val="0"/>
      <w:marBottom w:val="0"/>
      <w:divBdr>
        <w:top w:val="none" w:sz="0" w:space="0" w:color="auto"/>
        <w:left w:val="none" w:sz="0" w:space="0" w:color="auto"/>
        <w:bottom w:val="none" w:sz="0" w:space="0" w:color="auto"/>
        <w:right w:val="none" w:sz="0" w:space="0" w:color="auto"/>
      </w:divBdr>
    </w:div>
    <w:div w:id="1099134203">
      <w:marLeft w:val="0"/>
      <w:marRight w:val="0"/>
      <w:marTop w:val="0"/>
      <w:marBottom w:val="0"/>
      <w:divBdr>
        <w:top w:val="none" w:sz="0" w:space="0" w:color="auto"/>
        <w:left w:val="none" w:sz="0" w:space="0" w:color="auto"/>
        <w:bottom w:val="none" w:sz="0" w:space="0" w:color="auto"/>
        <w:right w:val="none" w:sz="0" w:space="0" w:color="auto"/>
      </w:divBdr>
    </w:div>
    <w:div w:id="1099134204">
      <w:marLeft w:val="0"/>
      <w:marRight w:val="0"/>
      <w:marTop w:val="0"/>
      <w:marBottom w:val="0"/>
      <w:divBdr>
        <w:top w:val="none" w:sz="0" w:space="0" w:color="auto"/>
        <w:left w:val="none" w:sz="0" w:space="0" w:color="auto"/>
        <w:bottom w:val="none" w:sz="0" w:space="0" w:color="auto"/>
        <w:right w:val="none" w:sz="0" w:space="0" w:color="auto"/>
      </w:divBdr>
    </w:div>
    <w:div w:id="1099134207">
      <w:marLeft w:val="0"/>
      <w:marRight w:val="0"/>
      <w:marTop w:val="0"/>
      <w:marBottom w:val="0"/>
      <w:divBdr>
        <w:top w:val="none" w:sz="0" w:space="0" w:color="auto"/>
        <w:left w:val="none" w:sz="0" w:space="0" w:color="auto"/>
        <w:bottom w:val="none" w:sz="0" w:space="0" w:color="auto"/>
        <w:right w:val="none" w:sz="0" w:space="0" w:color="auto"/>
      </w:divBdr>
      <w:divsChild>
        <w:div w:id="1099134201">
          <w:marLeft w:val="1123"/>
          <w:marRight w:val="0"/>
          <w:marTop w:val="0"/>
          <w:marBottom w:val="0"/>
          <w:divBdr>
            <w:top w:val="none" w:sz="0" w:space="0" w:color="auto"/>
            <w:left w:val="none" w:sz="0" w:space="0" w:color="auto"/>
            <w:bottom w:val="none" w:sz="0" w:space="0" w:color="auto"/>
            <w:right w:val="none" w:sz="0" w:space="0" w:color="auto"/>
          </w:divBdr>
        </w:div>
        <w:div w:id="1099134205">
          <w:marLeft w:val="1123"/>
          <w:marRight w:val="0"/>
          <w:marTop w:val="0"/>
          <w:marBottom w:val="0"/>
          <w:divBdr>
            <w:top w:val="none" w:sz="0" w:space="0" w:color="auto"/>
            <w:left w:val="none" w:sz="0" w:space="0" w:color="auto"/>
            <w:bottom w:val="none" w:sz="0" w:space="0" w:color="auto"/>
            <w:right w:val="none" w:sz="0" w:space="0" w:color="auto"/>
          </w:divBdr>
        </w:div>
        <w:div w:id="1099134206">
          <w:marLeft w:val="1123"/>
          <w:marRight w:val="0"/>
          <w:marTop w:val="0"/>
          <w:marBottom w:val="0"/>
          <w:divBdr>
            <w:top w:val="none" w:sz="0" w:space="0" w:color="auto"/>
            <w:left w:val="none" w:sz="0" w:space="0" w:color="auto"/>
            <w:bottom w:val="none" w:sz="0" w:space="0" w:color="auto"/>
            <w:right w:val="none" w:sz="0" w:space="0" w:color="auto"/>
          </w:divBdr>
        </w:div>
        <w:div w:id="1099134211">
          <w:marLeft w:val="1123"/>
          <w:marRight w:val="0"/>
          <w:marTop w:val="0"/>
          <w:marBottom w:val="0"/>
          <w:divBdr>
            <w:top w:val="none" w:sz="0" w:space="0" w:color="auto"/>
            <w:left w:val="none" w:sz="0" w:space="0" w:color="auto"/>
            <w:bottom w:val="none" w:sz="0" w:space="0" w:color="auto"/>
            <w:right w:val="none" w:sz="0" w:space="0" w:color="auto"/>
          </w:divBdr>
        </w:div>
        <w:div w:id="1099134214">
          <w:marLeft w:val="1123"/>
          <w:marRight w:val="0"/>
          <w:marTop w:val="0"/>
          <w:marBottom w:val="0"/>
          <w:divBdr>
            <w:top w:val="none" w:sz="0" w:space="0" w:color="auto"/>
            <w:left w:val="none" w:sz="0" w:space="0" w:color="auto"/>
            <w:bottom w:val="none" w:sz="0" w:space="0" w:color="auto"/>
            <w:right w:val="none" w:sz="0" w:space="0" w:color="auto"/>
          </w:divBdr>
        </w:div>
        <w:div w:id="1099134217">
          <w:marLeft w:val="1123"/>
          <w:marRight w:val="0"/>
          <w:marTop w:val="0"/>
          <w:marBottom w:val="0"/>
          <w:divBdr>
            <w:top w:val="none" w:sz="0" w:space="0" w:color="auto"/>
            <w:left w:val="none" w:sz="0" w:space="0" w:color="auto"/>
            <w:bottom w:val="none" w:sz="0" w:space="0" w:color="auto"/>
            <w:right w:val="none" w:sz="0" w:space="0" w:color="auto"/>
          </w:divBdr>
        </w:div>
        <w:div w:id="1099134218">
          <w:marLeft w:val="1123"/>
          <w:marRight w:val="0"/>
          <w:marTop w:val="0"/>
          <w:marBottom w:val="0"/>
          <w:divBdr>
            <w:top w:val="none" w:sz="0" w:space="0" w:color="auto"/>
            <w:left w:val="none" w:sz="0" w:space="0" w:color="auto"/>
            <w:bottom w:val="none" w:sz="0" w:space="0" w:color="auto"/>
            <w:right w:val="none" w:sz="0" w:space="0" w:color="auto"/>
          </w:divBdr>
        </w:div>
      </w:divsChild>
    </w:div>
    <w:div w:id="1099134208">
      <w:marLeft w:val="0"/>
      <w:marRight w:val="0"/>
      <w:marTop w:val="0"/>
      <w:marBottom w:val="0"/>
      <w:divBdr>
        <w:top w:val="none" w:sz="0" w:space="0" w:color="auto"/>
        <w:left w:val="none" w:sz="0" w:space="0" w:color="auto"/>
        <w:bottom w:val="none" w:sz="0" w:space="0" w:color="auto"/>
        <w:right w:val="none" w:sz="0" w:space="0" w:color="auto"/>
      </w:divBdr>
    </w:div>
    <w:div w:id="1099134209">
      <w:marLeft w:val="0"/>
      <w:marRight w:val="0"/>
      <w:marTop w:val="0"/>
      <w:marBottom w:val="0"/>
      <w:divBdr>
        <w:top w:val="none" w:sz="0" w:space="0" w:color="auto"/>
        <w:left w:val="none" w:sz="0" w:space="0" w:color="auto"/>
        <w:bottom w:val="none" w:sz="0" w:space="0" w:color="auto"/>
        <w:right w:val="none" w:sz="0" w:space="0" w:color="auto"/>
      </w:divBdr>
    </w:div>
    <w:div w:id="1099134210">
      <w:marLeft w:val="0"/>
      <w:marRight w:val="0"/>
      <w:marTop w:val="0"/>
      <w:marBottom w:val="0"/>
      <w:divBdr>
        <w:top w:val="none" w:sz="0" w:space="0" w:color="auto"/>
        <w:left w:val="none" w:sz="0" w:space="0" w:color="auto"/>
        <w:bottom w:val="none" w:sz="0" w:space="0" w:color="auto"/>
        <w:right w:val="none" w:sz="0" w:space="0" w:color="auto"/>
      </w:divBdr>
    </w:div>
    <w:div w:id="1099134212">
      <w:marLeft w:val="0"/>
      <w:marRight w:val="0"/>
      <w:marTop w:val="0"/>
      <w:marBottom w:val="0"/>
      <w:divBdr>
        <w:top w:val="none" w:sz="0" w:space="0" w:color="auto"/>
        <w:left w:val="none" w:sz="0" w:space="0" w:color="auto"/>
        <w:bottom w:val="none" w:sz="0" w:space="0" w:color="auto"/>
        <w:right w:val="none" w:sz="0" w:space="0" w:color="auto"/>
      </w:divBdr>
    </w:div>
    <w:div w:id="1099134213">
      <w:marLeft w:val="0"/>
      <w:marRight w:val="0"/>
      <w:marTop w:val="0"/>
      <w:marBottom w:val="0"/>
      <w:divBdr>
        <w:top w:val="none" w:sz="0" w:space="0" w:color="auto"/>
        <w:left w:val="none" w:sz="0" w:space="0" w:color="auto"/>
        <w:bottom w:val="none" w:sz="0" w:space="0" w:color="auto"/>
        <w:right w:val="none" w:sz="0" w:space="0" w:color="auto"/>
      </w:divBdr>
    </w:div>
    <w:div w:id="1099134215">
      <w:marLeft w:val="0"/>
      <w:marRight w:val="0"/>
      <w:marTop w:val="0"/>
      <w:marBottom w:val="0"/>
      <w:divBdr>
        <w:top w:val="none" w:sz="0" w:space="0" w:color="auto"/>
        <w:left w:val="none" w:sz="0" w:space="0" w:color="auto"/>
        <w:bottom w:val="none" w:sz="0" w:space="0" w:color="auto"/>
        <w:right w:val="none" w:sz="0" w:space="0" w:color="auto"/>
      </w:divBdr>
    </w:div>
    <w:div w:id="1099134216">
      <w:marLeft w:val="0"/>
      <w:marRight w:val="0"/>
      <w:marTop w:val="0"/>
      <w:marBottom w:val="0"/>
      <w:divBdr>
        <w:top w:val="none" w:sz="0" w:space="0" w:color="auto"/>
        <w:left w:val="none" w:sz="0" w:space="0" w:color="auto"/>
        <w:bottom w:val="none" w:sz="0" w:space="0" w:color="auto"/>
        <w:right w:val="none" w:sz="0" w:space="0" w:color="auto"/>
      </w:divBdr>
    </w:div>
    <w:div w:id="1602883231">
      <w:bodyDiv w:val="1"/>
      <w:marLeft w:val="0"/>
      <w:marRight w:val="0"/>
      <w:marTop w:val="0"/>
      <w:marBottom w:val="0"/>
      <w:divBdr>
        <w:top w:val="none" w:sz="0" w:space="0" w:color="auto"/>
        <w:left w:val="none" w:sz="0" w:space="0" w:color="auto"/>
        <w:bottom w:val="none" w:sz="0" w:space="0" w:color="auto"/>
        <w:right w:val="none" w:sz="0" w:space="0" w:color="auto"/>
      </w:divBdr>
    </w:div>
    <w:div w:id="170736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epp.eurostat.ec.europa.eu/portal/page/portal/eurostat/home"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espon.eu/main/Menu_Project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2821</Words>
  <Characters>16081</Characters>
  <Application>Microsoft Office Word</Application>
  <DocSecurity>0</DocSecurity>
  <Lines>134</Lines>
  <Paragraphs>37</Paragraphs>
  <ScaleCrop>false</ScaleCrop>
  <Company>crp Henri Tudor</Company>
  <LinksUpToDate>false</LinksUpToDate>
  <CharactersWithSpaces>18865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13</cp:revision>
  <cp:lastPrinted>2012-11-10T09:52:00Z</cp:lastPrinted>
  <dcterms:created xsi:type="dcterms:W3CDTF">2012-11-20T10:47:00Z</dcterms:created>
  <dcterms:modified xsi:type="dcterms:W3CDTF">2012-11-27T11:54:00Z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