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FD4684" w:rsidRDefault="00040E75" w:rsidP="00FD4684">
      <w:pPr>
        <w:spacing w:line="240" w:lineRule="auto"/>
        <w:ind w:left="-851"/>
        <w:jc w:val="center"/>
        <w:rPr>
          <w:rFonts w:ascii="Arial" w:hAnsi="Arial" w:cs="Arial"/>
          <w:sz w:val="40"/>
          <w:szCs w:val="40"/>
          <w:lang w:val="en-US"/>
        </w:rPr>
      </w:pPr>
      <w:r w:rsidRPr="00FD4684">
        <w:rPr>
          <w:rFonts w:ascii="Arial" w:hAnsi="Arial" w:cs="Arial"/>
          <w:sz w:val="40"/>
          <w:szCs w:val="40"/>
          <w:lang w:val="en-US"/>
        </w:rPr>
        <w:t>Germany Saxony</w:t>
      </w:r>
      <w:r w:rsidR="00D25198" w:rsidRPr="00FD4684">
        <w:rPr>
          <w:rFonts w:ascii="Arial" w:hAnsi="Arial" w:cs="Arial"/>
          <w:sz w:val="40"/>
          <w:szCs w:val="40"/>
          <w:lang w:val="en-US"/>
        </w:rPr>
        <w:t xml:space="preserve"> – Czech Republic</w:t>
      </w:r>
    </w:p>
    <w:p w:rsidR="00E613A3" w:rsidRDefault="00D25198"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229100" cy="5029200"/>
            <wp:effectExtent l="19050" t="0" r="0" b="0"/>
            <wp:docPr id="2" name="Bild 1" descr="P:\LU_2011_ESPON_TerrEvi_100269\03_Project development\Dani\Cover Maps\Germany (Saxony) - Czech Republic CBC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Germany (Saxony) - Czech Republic CBC Programme.jpg"/>
                    <pic:cNvPicPr>
                      <a:picLocks noChangeAspect="1" noChangeArrowheads="1"/>
                    </pic:cNvPicPr>
                  </pic:nvPicPr>
                  <pic:blipFill>
                    <a:blip r:embed="rId11" cstate="print"/>
                    <a:srcRect/>
                    <a:stretch>
                      <a:fillRect/>
                    </a:stretch>
                  </pic:blipFill>
                  <pic:spPr bwMode="auto">
                    <a:xfrm>
                      <a:off x="0" y="0"/>
                      <a:ext cx="4229100" cy="50292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FD4684" w:rsidRDefault="00FD4684" w:rsidP="00FD4684">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FD4684" w:rsidRDefault="00FD4684" w:rsidP="00FD4684">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232BDE" w:rsidRPr="0085195F" w:rsidRDefault="000A647A" w:rsidP="00232BDE">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232BDE" w:rsidRPr="0085195F">
        <w:t>This is intended as an electronic publication so map quality is generally high to allow users to zoom into specific territories.</w:t>
      </w:r>
    </w:p>
    <w:p w:rsidR="000A647A" w:rsidRDefault="00232BDE" w:rsidP="00232BDE">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5E429B" w:rsidRDefault="005E429B" w:rsidP="005E429B">
      <w:r>
        <w:t>In the following the traffic light for each indicator represents how your programme territory compares to wider European and national medians where green = your programme area performs better for that indicator, yel</w:t>
      </w:r>
      <w:r w:rsidR="00232BDE">
        <w:t>low = similar, and red = worse.</w:t>
      </w:r>
    </w:p>
    <w:p w:rsidR="00F43902" w:rsidRDefault="00F43902" w:rsidP="00F43902">
      <w:r>
        <w:t>In creating the traffic</w:t>
      </w:r>
      <w:r w:rsidR="005E429B">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1B540E" w:rsidRPr="00973E76" w:rsidRDefault="001B540E" w:rsidP="001B540E">
      <w:pPr>
        <w:spacing w:after="240"/>
        <w:rPr>
          <w:lang w:val="en-US"/>
        </w:rPr>
      </w:pPr>
      <w:r>
        <w:t>EU 27+4 in Traffic Lights and box-plots means</w:t>
      </w:r>
      <w:r w:rsidRPr="00021CAB">
        <w:t xml:space="preserve"> the EU Member States a</w:t>
      </w:r>
      <w:r>
        <w:t>s well as</w:t>
      </w:r>
      <w:r w:rsidRPr="00021CAB">
        <w:t xml:space="preserve"> Iceland, Li</w:t>
      </w:r>
      <w:r w:rsidR="001A4E00">
        <w:t>e</w:t>
      </w:r>
      <w:r w:rsidRPr="00021CAB">
        <w:t xml:space="preserve">chtenstein, Norway and Switzerland – the </w:t>
      </w:r>
      <w:r>
        <w:t>ESPON space</w:t>
      </w:r>
      <w:r w:rsidRPr="00973E76">
        <w:rPr>
          <w:lang w:val="en-US"/>
        </w:rPr>
        <w:t>.</w:t>
      </w:r>
    </w:p>
    <w:p w:rsidR="00337872" w:rsidRDefault="00337872" w:rsidP="00337872">
      <w:pPr>
        <w:pStyle w:val="Heading3"/>
      </w:pPr>
      <w:r w:rsidRPr="004A3E58">
        <w:t>Smart growth</w:t>
      </w:r>
      <w:r w:rsidRPr="00337872">
        <w:t xml:space="preserve"> </w:t>
      </w:r>
    </w:p>
    <w:p w:rsidR="00337872" w:rsidRDefault="00CB4584" w:rsidP="00C33A99">
      <w:r>
        <w:rPr>
          <w:noProof/>
          <w:lang w:val="en-US"/>
        </w:rPr>
        <w:drawing>
          <wp:anchor distT="0" distB="0" distL="114300" distR="114300" simplePos="0" relativeHeight="251687424" behindDoc="1" locked="0" layoutInCell="1" allowOverlap="1">
            <wp:simplePos x="0" y="0"/>
            <wp:positionH relativeFrom="column">
              <wp:posOffset>-5715</wp:posOffset>
            </wp:positionH>
            <wp:positionV relativeFrom="paragraph">
              <wp:posOffset>516890</wp:posOffset>
            </wp:positionV>
            <wp:extent cx="5272405" cy="2710815"/>
            <wp:effectExtent l="19050" t="0" r="4445" b="0"/>
            <wp:wrapTight wrapText="bothSides">
              <wp:wrapPolygon edited="0">
                <wp:start x="-78" y="0"/>
                <wp:lineTo x="-78" y="20492"/>
                <wp:lineTo x="21618" y="20492"/>
                <wp:lineTo x="21618" y="0"/>
                <wp:lineTo x="-78" y="0"/>
              </wp:wrapPolygon>
            </wp:wrapTight>
            <wp:docPr id="5" name="Bild 3" descr="C:\Dokumente und Einstellungen\pucher\Desktop\TL_CBC1\CBC_TL_Sachen_Ceska Republik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Sachen_Ceska Republika1a.png"/>
                    <pic:cNvPicPr>
                      <a:picLocks noChangeAspect="1" noChangeArrowheads="1"/>
                    </pic:cNvPicPr>
                  </pic:nvPicPr>
                  <pic:blipFill>
                    <a:blip r:embed="rId15" cstate="print"/>
                    <a:srcRect/>
                    <a:stretch>
                      <a:fillRect/>
                    </a:stretch>
                  </pic:blipFill>
                  <pic:spPr bwMode="auto">
                    <a:xfrm>
                      <a:off x="0" y="0"/>
                      <a:ext cx="5272405" cy="2710815"/>
                    </a:xfrm>
                    <a:prstGeom prst="rect">
                      <a:avLst/>
                    </a:prstGeom>
                    <a:noFill/>
                    <a:ln w="9525">
                      <a:noFill/>
                      <a:miter lim="800000"/>
                      <a:headEnd/>
                      <a:tailEnd/>
                    </a:ln>
                  </pic:spPr>
                </pic:pic>
              </a:graphicData>
            </a:graphic>
          </wp:anchor>
        </w:drawing>
      </w:r>
      <w:r w:rsidR="000D7CC4">
        <w:t xml:space="preserve">Smart growth refers to </w:t>
      </w:r>
      <w:r w:rsidR="000D7CC4" w:rsidRPr="000D7CC4">
        <w:t>developing an economy based on knowledge and innovation.</w:t>
      </w:r>
      <w:r w:rsidR="000D7CC4">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CB4584" w:rsidRDefault="00CB4584" w:rsidP="00C33A99"/>
    <w:p w:rsidR="00A30728" w:rsidRPr="00B92990" w:rsidRDefault="00A30728" w:rsidP="00A30728">
      <w:r w:rsidRPr="00B92990">
        <w:t xml:space="preserve">According to </w:t>
      </w:r>
      <w:r>
        <w:t xml:space="preserve">some </w:t>
      </w:r>
      <w:r w:rsidRPr="00B92990">
        <w:t xml:space="preserve">indicators reported above, the </w:t>
      </w:r>
      <w:r w:rsidRPr="00EE44DA">
        <w:t>Germany (</w:t>
      </w:r>
      <w:r>
        <w:t>Saxony</w:t>
      </w:r>
      <w:r w:rsidRPr="00EE44DA">
        <w:t>)</w:t>
      </w:r>
      <w:r>
        <w:t xml:space="preserve"> </w:t>
      </w:r>
      <w:r w:rsidRPr="00EE44DA">
        <w:t>–</w:t>
      </w:r>
      <w:r>
        <w:t xml:space="preserve"> </w:t>
      </w:r>
      <w:r w:rsidRPr="00EE44DA">
        <w:t xml:space="preserve">Czech Republic </w:t>
      </w:r>
      <w:r w:rsidRPr="00B92990">
        <w:t xml:space="preserve">CBC area </w:t>
      </w:r>
      <w:r w:rsidRPr="00A2709D">
        <w:t>performs either at a better or similar or worse level than the EU27+4 space and</w:t>
      </w:r>
      <w:r w:rsidRPr="00B92990">
        <w:t xml:space="preserve"> all CBC ones. Considering the ob</w:t>
      </w:r>
      <w:r>
        <w:t>jective of R&amp;D expenditure of  percentage</w:t>
      </w:r>
      <w:r w:rsidRPr="00B92990">
        <w:t xml:space="preserve"> of the GDP - one of the five headline targets in the Europe 2020 Strategy - the CBC </w:t>
      </w:r>
      <w:r w:rsidRPr="00EE44DA">
        <w:t xml:space="preserve">area is in a similar to EU27+4 space and better than all CBC </w:t>
      </w:r>
      <w:r w:rsidRPr="00EE44DA">
        <w:lastRenderedPageBreak/>
        <w:t>areas. Moreover,</w:t>
      </w:r>
      <w:r>
        <w:t xml:space="preserve"> </w:t>
      </w:r>
      <w:r w:rsidRPr="00EE44DA">
        <w:t>Germany (</w:t>
      </w:r>
      <w:r>
        <w:t>Saxony</w:t>
      </w:r>
      <w:r w:rsidRPr="00EE44DA">
        <w:t>)</w:t>
      </w:r>
      <w:r>
        <w:t xml:space="preserve"> </w:t>
      </w:r>
      <w:r w:rsidRPr="00EE44DA">
        <w:t>–</w:t>
      </w:r>
      <w:r>
        <w:t xml:space="preserve"> </w:t>
      </w:r>
      <w:r w:rsidRPr="00EE44DA">
        <w:t>Czech Republic is characterized by a high level of internal disparity due to a better performance of the German side and a worse of the Czech one.</w:t>
      </w:r>
    </w:p>
    <w:p w:rsidR="00A30728" w:rsidRPr="00B92990" w:rsidRDefault="00A30728" w:rsidP="00A30728">
      <w:r w:rsidRPr="00EE44DA">
        <w:t>Concerning the ratio of employment in knowledge-intensive service to the total employment in 2010, the CBC area has lower values than both EU27+4 space and all CBCs; slightly higher than Czech Republic. The distribution inside the CBC results in a low level of internal disparity.</w:t>
      </w:r>
      <w:r w:rsidRPr="00B92990">
        <w:t xml:space="preserve"> </w:t>
      </w:r>
    </w:p>
    <w:p w:rsidR="00A30728" w:rsidRPr="00B92990" w:rsidRDefault="00A30728" w:rsidP="00A30728">
      <w:r w:rsidRPr="008913FB">
        <w:t>In terms of the percentage of individuals regularly using internet in 2011, the CBC has the same values as both EU27+4 space and all CBCs, but it performs slightly better than Czech Republic and worse than German average, with a low</w:t>
      </w:r>
      <w:r w:rsidRPr="00B92990">
        <w:t xml:space="preserve"> internal disparity.</w:t>
      </w:r>
    </w:p>
    <w:p w:rsidR="00A30728" w:rsidRPr="00B92990" w:rsidRDefault="00A30728" w:rsidP="00A30728">
      <w:r>
        <w:t>According to</w:t>
      </w:r>
      <w:r w:rsidRPr="00B92990">
        <w:t xml:space="preserve"> the </w:t>
      </w:r>
      <w:r>
        <w:t>classification o</w:t>
      </w:r>
      <w:r w:rsidRPr="00B92990">
        <w:t xml:space="preserve">f the KIT project, </w:t>
      </w:r>
      <w:r>
        <w:t>MAP 1</w:t>
      </w:r>
      <w:r w:rsidRPr="00B92990">
        <w:t xml:space="preserve"> identifies two territorial patterns of innovation, which are moreover keeping up with national borders</w:t>
      </w:r>
      <w:r>
        <w:t>....)</w:t>
      </w:r>
      <w:r w:rsidRPr="00B92990">
        <w:t xml:space="preserve">: </w:t>
      </w:r>
    </w:p>
    <w:p w:rsidR="00A30728" w:rsidRPr="00AD2C00" w:rsidRDefault="00A30728" w:rsidP="00A30728">
      <w:pPr>
        <w:pStyle w:val="ListParagraph"/>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German</w:t>
      </w:r>
      <w:r w:rsidRPr="00AD2C00">
        <w:rPr>
          <w:rFonts w:cstheme="minorHAnsi"/>
          <w:szCs w:val="20"/>
        </w:rPr>
        <w:t xml:space="preserve"> part. It is associated to </w:t>
      </w:r>
      <w:r w:rsidRPr="00AD2C00">
        <w:rPr>
          <w:szCs w:val="20"/>
        </w:rPr>
        <w:t xml:space="preserve">a quite high generality and originality of science-based local knowledge, and a high degree of attractiveness of knowledge coming from other regions. </w:t>
      </w:r>
    </w:p>
    <w:p w:rsidR="00F43902" w:rsidRDefault="00A30728" w:rsidP="00A30728">
      <w:pPr>
        <w:pStyle w:val="ListParagraph"/>
        <w:numPr>
          <w:ilvl w:val="0"/>
          <w:numId w:val="14"/>
        </w:numPr>
        <w:spacing w:line="240" w:lineRule="atLeast"/>
        <w:rPr>
          <w:rFonts w:cstheme="minorHAnsi"/>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 xml:space="preserve">Czech </w:t>
      </w:r>
      <w:r w:rsidRPr="001A612A">
        <w:rPr>
          <w:rFonts w:cstheme="minorHAnsi"/>
          <w:szCs w:val="20"/>
        </w:rPr>
        <w:t>side</w:t>
      </w:r>
      <w:r>
        <w:rPr>
          <w:rFonts w:cstheme="minorHAnsi"/>
          <w:szCs w:val="20"/>
        </w:rPr>
        <w:t>.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w:t>
      </w:r>
      <w:r>
        <w:rPr>
          <w:rFonts w:cstheme="minorHAnsi"/>
          <w:szCs w:val="20"/>
        </w:rPr>
        <w:t>.</w:t>
      </w:r>
      <w:r w:rsidRPr="001A612A">
        <w:rPr>
          <w:rFonts w:cstheme="minorHAnsi"/>
          <w:szCs w:val="20"/>
        </w:rPr>
        <w:t xml:space="preserve">  </w:t>
      </w:r>
    </w:p>
    <w:p w:rsidR="00A30728" w:rsidRPr="00F43902" w:rsidRDefault="00F43902" w:rsidP="00F43902">
      <w:pPr>
        <w:spacing w:after="0" w:line="240" w:lineRule="auto"/>
        <w:jc w:val="left"/>
        <w:rPr>
          <w:rFonts w:cstheme="minorHAnsi"/>
          <w:szCs w:val="20"/>
        </w:rPr>
      </w:pPr>
      <w:r>
        <w:rPr>
          <w:rFonts w:cstheme="minorHAnsi"/>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D25198">
        <w:rPr>
          <w:b/>
        </w:rPr>
        <w:t xml:space="preserve">Germany </w:t>
      </w:r>
      <w:r w:rsidR="00040E75">
        <w:rPr>
          <w:b/>
        </w:rPr>
        <w:t xml:space="preserve">Saxony </w:t>
      </w:r>
      <w:r w:rsidR="00D25198">
        <w:rPr>
          <w:b/>
        </w:rPr>
        <w:t>-</w:t>
      </w:r>
      <w:r w:rsidR="00040E75">
        <w:rPr>
          <w:b/>
        </w:rPr>
        <w:t xml:space="preserve"> </w:t>
      </w:r>
      <w:r w:rsidR="00D25198">
        <w:rPr>
          <w:b/>
        </w:rPr>
        <w:t>Czech Republic</w:t>
      </w:r>
    </w:p>
    <w:p w:rsidR="008A3B96" w:rsidRDefault="008A3B96" w:rsidP="008A3B96"/>
    <w:p w:rsidR="008A3B96" w:rsidRDefault="00BA5521" w:rsidP="008A3B96">
      <w:pPr>
        <w:spacing w:after="0" w:line="240" w:lineRule="auto"/>
      </w:pPr>
      <w:r w:rsidRPr="00BA5521">
        <w:rPr>
          <w:noProof/>
          <w:lang w:val="de-DE" w:eastAsia="de-DE"/>
        </w:rPr>
        <w:pict>
          <v:oval id="_x0000_s1029" style="position:absolute;left:0;text-align:left;margin-left:184pt;margin-top:214.2pt;width:42.2pt;height:23.25pt;z-index:251679232" filled="f" strokecolor="#0070c0" strokeweight="2pt"/>
        </w:pict>
      </w:r>
      <w:r w:rsidR="00585182">
        <w:rPr>
          <w:noProof/>
          <w:lang w:val="en-US"/>
        </w:rPr>
        <w:drawing>
          <wp:inline distT="0" distB="0" distL="0" distR="0">
            <wp:extent cx="5278755" cy="6284584"/>
            <wp:effectExtent l="19050" t="0" r="0"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2448AA">
        <w:lastRenderedPageBreak/>
        <w:t>Sustainable growth</w:t>
      </w:r>
      <w:r w:rsidRPr="00337872">
        <w:t xml:space="preserve"> </w:t>
      </w:r>
    </w:p>
    <w:p w:rsidR="004F26B8" w:rsidRDefault="00CB4584" w:rsidP="00C00C96">
      <w:r>
        <w:rPr>
          <w:noProof/>
          <w:lang w:val="en-US"/>
        </w:rPr>
        <w:drawing>
          <wp:anchor distT="0" distB="0" distL="114300" distR="114300" simplePos="0" relativeHeight="251688448" behindDoc="1" locked="0" layoutInCell="1" allowOverlap="1">
            <wp:simplePos x="0" y="0"/>
            <wp:positionH relativeFrom="column">
              <wp:posOffset>-1905</wp:posOffset>
            </wp:positionH>
            <wp:positionV relativeFrom="paragraph">
              <wp:posOffset>1295400</wp:posOffset>
            </wp:positionV>
            <wp:extent cx="5273675" cy="3051175"/>
            <wp:effectExtent l="19050" t="0" r="3175" b="0"/>
            <wp:wrapTight wrapText="bothSides">
              <wp:wrapPolygon edited="0">
                <wp:start x="-78" y="0"/>
                <wp:lineTo x="-78" y="20634"/>
                <wp:lineTo x="21613" y="20634"/>
                <wp:lineTo x="21613" y="0"/>
                <wp:lineTo x="-78" y="0"/>
              </wp:wrapPolygon>
            </wp:wrapTight>
            <wp:docPr id="8" name="Bild 4" descr="C:\Dokumente und Einstellungen\pucher\Desktop\TL_CBC1\CBC_TL_Sachen_Ceska Republik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pucher\Desktop\TL_CBC1\CBC_TL_Sachen_Ceska Republika1b.png"/>
                    <pic:cNvPicPr>
                      <a:picLocks noChangeAspect="1" noChangeArrowheads="1"/>
                    </pic:cNvPicPr>
                  </pic:nvPicPr>
                  <pic:blipFill>
                    <a:blip r:embed="rId17" cstate="print"/>
                    <a:srcRect/>
                    <a:stretch>
                      <a:fillRect/>
                    </a:stretch>
                  </pic:blipFill>
                  <pic:spPr bwMode="auto">
                    <a:xfrm>
                      <a:off x="0" y="0"/>
                      <a:ext cx="5273675" cy="305117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08153E">
        <w:t>In the framework of the Europe</w:t>
      </w:r>
      <w:r w:rsidR="00276DA6">
        <w:t xml:space="preserve"> 2020 Strategy it means </w:t>
      </w:r>
      <w:r w:rsidR="006D6890">
        <w:t xml:space="preserve">focus on </w:t>
      </w:r>
      <w:r w:rsidR="006D6890" w:rsidRPr="00F43902">
        <w:t>competitiveness, resource efficiency, climate change and biodiversity</w:t>
      </w:r>
      <w:r w:rsidR="00276DA6" w:rsidRPr="00F43902">
        <w:t>.</w:t>
      </w:r>
    </w:p>
    <w:p w:rsidR="00DC1EFB" w:rsidRPr="002448AA" w:rsidRDefault="00DC1EFB" w:rsidP="000236C3">
      <w:r w:rsidRPr="002448AA">
        <w:t xml:space="preserve">The use of wind energy potential could be one of the cornerstones in building a competitive low-carbon economy in the EU. The programme area as a whole shows a median value that is </w:t>
      </w:r>
      <w:r w:rsidR="000236C3" w:rsidRPr="002448AA">
        <w:t>slightly lower</w:t>
      </w:r>
      <w:r w:rsidRPr="002448AA">
        <w:t xml:space="preserve"> than the EU 27+4 and all the CBC programme areas in Europe. The CBC area shows a lower value tha</w:t>
      </w:r>
      <w:r w:rsidR="000236C3" w:rsidRPr="002448AA">
        <w:t>n the national levels of Germany and the Czech Republic</w:t>
      </w:r>
      <w:r w:rsidRPr="002448AA">
        <w:t xml:space="preserve"> whereas there is a higher potential in using this sustainable resource</w:t>
      </w:r>
      <w:r w:rsidR="000236C3" w:rsidRPr="002448AA">
        <w:t xml:space="preserve"> in Germany</w:t>
      </w:r>
      <w:r w:rsidRPr="002448AA">
        <w:t xml:space="preserve"> </w:t>
      </w:r>
      <w:r w:rsidR="000236C3" w:rsidRPr="002448AA">
        <w:t>compared to the Czech</w:t>
      </w:r>
      <w:r w:rsidRPr="002448AA">
        <w:t xml:space="preserve"> national values. </w:t>
      </w:r>
      <w:r w:rsidR="000236C3" w:rsidRPr="002448AA">
        <w:t xml:space="preserve">Regarding the ozone concentration, </w:t>
      </w:r>
      <w:r w:rsidRPr="002448AA">
        <w:t xml:space="preserve">the CBC </w:t>
      </w:r>
      <w:r w:rsidR="000236C3" w:rsidRPr="002448AA">
        <w:t>level is higher compared to the Czech</w:t>
      </w:r>
      <w:r w:rsidRPr="002448AA">
        <w:t xml:space="preserve"> </w:t>
      </w:r>
      <w:r w:rsidR="000236C3" w:rsidRPr="002448AA">
        <w:t>national number</w:t>
      </w:r>
      <w:r w:rsidR="00337BD2" w:rsidRPr="002448AA">
        <w:t xml:space="preserve"> but lower than the EU 27+4. </w:t>
      </w:r>
      <w:r w:rsidR="000236C3" w:rsidRPr="002448AA">
        <w:t>The</w:t>
      </w:r>
      <w:r w:rsidRPr="002448AA">
        <w:t xml:space="preserve"> indicators </w:t>
      </w:r>
      <w:r w:rsidR="000236C3" w:rsidRPr="002448AA">
        <w:t xml:space="preserve">do not </w:t>
      </w:r>
      <w:r w:rsidRPr="002448AA">
        <w:t xml:space="preserve">show high disparities within the CBC area. </w:t>
      </w:r>
    </w:p>
    <w:p w:rsidR="00DC1EFB" w:rsidRPr="002448AA" w:rsidRDefault="00337BD2" w:rsidP="00DC1EFB">
      <w:r w:rsidRPr="002448AA">
        <w:t>The Germany-Czech Republic</w:t>
      </w:r>
      <w:r w:rsidR="003F0D17" w:rsidRPr="002448AA">
        <w:t xml:space="preserve"> programme is less</w:t>
      </w:r>
      <w:r w:rsidR="00DC1EFB" w:rsidRPr="002448AA">
        <w:t xml:space="preserve"> vulnerable to potential climate change compared to the EU 27+4 and all the CBC regions. </w:t>
      </w:r>
      <w:r w:rsidR="003F0D17" w:rsidRPr="002448AA">
        <w:t>Also compared to the German and Czech</w:t>
      </w:r>
      <w:r w:rsidR="00DC1EFB" w:rsidRPr="002448AA">
        <w:t xml:space="preserve"> national level</w:t>
      </w:r>
      <w:r w:rsidR="003F0D17" w:rsidRPr="002448AA">
        <w:t>s the cooperation area is less</w:t>
      </w:r>
      <w:r w:rsidR="00DC1EFB" w:rsidRPr="002448AA">
        <w:t xml:space="preserve"> vulnerable. Both sides of the border in the CBC area are not affected by territorial impact of Directive 11 on fossil fuel consumption (MAP 2) and their combined adaptive capacity to climate change (BOX-PLOT 1) in general similar to t</w:t>
      </w:r>
      <w:r w:rsidR="00274526" w:rsidRPr="002448AA">
        <w:t>he national levels. On the German side the NUTS3 region of Weisseritzkreis</w:t>
      </w:r>
      <w:r w:rsidR="00DC1EFB" w:rsidRPr="002448AA">
        <w:t xml:space="preserve"> show</w:t>
      </w:r>
      <w:r w:rsidR="00274526" w:rsidRPr="002448AA">
        <w:t>s</w:t>
      </w:r>
      <w:r w:rsidR="00DC1EFB" w:rsidRPr="002448AA">
        <w:t xml:space="preserve"> a high capacity compared to the respective national values. </w:t>
      </w:r>
    </w:p>
    <w:p w:rsidR="00DC1EFB" w:rsidRPr="003F0D17" w:rsidRDefault="00DC1EFB" w:rsidP="00DC1EFB">
      <w:pPr>
        <w:spacing w:after="0" w:line="240" w:lineRule="auto"/>
        <w:jc w:val="left"/>
      </w:pPr>
      <w:r>
        <w:br w:type="page"/>
      </w:r>
    </w:p>
    <w:p w:rsidR="00041A22" w:rsidRDefault="00041A22">
      <w:pPr>
        <w:spacing w:after="0" w:line="240" w:lineRule="auto"/>
        <w:jc w:val="left"/>
      </w:pPr>
    </w:p>
    <w:p w:rsidR="00D26713" w:rsidRDefault="009F77A8" w:rsidP="00D25198">
      <w:pPr>
        <w:rPr>
          <w:noProof/>
          <w:lang w:eastAsia="en-GB"/>
        </w:rPr>
      </w:pPr>
      <w:r w:rsidRPr="00C33A99">
        <w:rPr>
          <w:b/>
        </w:rPr>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040E75">
        <w:rPr>
          <w:b/>
        </w:rPr>
        <w:t>Germany Saxony - Czech Republic</w:t>
      </w:r>
    </w:p>
    <w:p w:rsidR="00D26713" w:rsidRDefault="00BA5521" w:rsidP="00D26713">
      <w:pPr>
        <w:spacing w:after="0" w:line="240" w:lineRule="auto"/>
        <w:rPr>
          <w:noProof/>
          <w:lang w:eastAsia="en-GB"/>
        </w:rPr>
      </w:pPr>
      <w:r w:rsidRPr="00BA5521">
        <w:rPr>
          <w:noProof/>
          <w:lang w:val="de-DE" w:eastAsia="de-DE"/>
        </w:rPr>
        <w:pict>
          <v:oval id="_x0000_s1030" style="position:absolute;left:0;text-align:left;margin-left:205.35pt;margin-top:195.65pt;width:42.2pt;height:23.25pt;z-index:251680256" filled="f" strokecolor="#0070c0" strokeweight="2pt"/>
        </w:pict>
      </w:r>
      <w:r w:rsidR="00585182">
        <w:rPr>
          <w:noProof/>
          <w:lang w:val="en-US"/>
        </w:rPr>
        <w:drawing>
          <wp:inline distT="0" distB="0" distL="0" distR="0">
            <wp:extent cx="5278755" cy="5815626"/>
            <wp:effectExtent l="1905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9F2EE4">
        <w:rPr>
          <w:b/>
        </w:rPr>
        <w:lastRenderedPageBreak/>
        <w:t>BOX</w:t>
      </w:r>
      <w:r w:rsidR="0054220D" w:rsidRPr="009F2EE4">
        <w:rPr>
          <w:b/>
        </w:rPr>
        <w:t>-</w:t>
      </w:r>
      <w:r w:rsidRPr="009F2EE4">
        <w:rPr>
          <w:b/>
        </w:rPr>
        <w:t>PLOT</w:t>
      </w:r>
      <w:r w:rsidR="00016B50" w:rsidRPr="009F2EE4">
        <w:rPr>
          <w:b/>
        </w:rPr>
        <w:t xml:space="preserve"> 1 – </w:t>
      </w:r>
      <w:r w:rsidRPr="009F2EE4">
        <w:rPr>
          <w:b/>
        </w:rPr>
        <w:t>Combined adaptive capacity to climate change (ESPON CLIMATE project)</w:t>
      </w:r>
      <w:r w:rsidR="002371D8" w:rsidRPr="009F2EE4">
        <w:rPr>
          <w:b/>
        </w:rPr>
        <w:t xml:space="preserve"> for the CBC </w:t>
      </w:r>
      <w:r w:rsidR="00040E75" w:rsidRPr="009F2EE4">
        <w:rPr>
          <w:b/>
        </w:rPr>
        <w:t>Germany Saxony - Czech Republic</w:t>
      </w:r>
    </w:p>
    <w:p w:rsidR="001B540E" w:rsidRPr="00021CAB" w:rsidRDefault="001B540E" w:rsidP="001B540E">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9F2EE4" w:rsidP="006E618B">
      <w:pPr>
        <w:spacing w:after="0" w:line="240" w:lineRule="auto"/>
        <w:rPr>
          <w:noProof/>
          <w:lang w:eastAsia="en-GB"/>
        </w:rPr>
      </w:pPr>
      <w:r>
        <w:rPr>
          <w:noProof/>
          <w:lang w:val="en-US"/>
        </w:rPr>
        <w:drawing>
          <wp:inline distT="0" distB="0" distL="0" distR="0">
            <wp:extent cx="5278755" cy="3894562"/>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3894562"/>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2448AA">
        <w:lastRenderedPageBreak/>
        <w:t>Inclusive growth</w:t>
      </w:r>
      <w:r>
        <w:t xml:space="preserve"> </w:t>
      </w:r>
    </w:p>
    <w:p w:rsidR="00151954" w:rsidRDefault="00CB4584" w:rsidP="00B135A2">
      <w:r>
        <w:rPr>
          <w:noProof/>
          <w:lang w:val="en-US"/>
        </w:rPr>
        <w:drawing>
          <wp:anchor distT="0" distB="0" distL="114300" distR="114300" simplePos="0" relativeHeight="251689472" behindDoc="1" locked="0" layoutInCell="1" allowOverlap="1">
            <wp:simplePos x="0" y="0"/>
            <wp:positionH relativeFrom="column">
              <wp:posOffset>15240</wp:posOffset>
            </wp:positionH>
            <wp:positionV relativeFrom="paragraph">
              <wp:posOffset>1135380</wp:posOffset>
            </wp:positionV>
            <wp:extent cx="5273675" cy="2604770"/>
            <wp:effectExtent l="19050" t="0" r="3175" b="0"/>
            <wp:wrapTight wrapText="bothSides">
              <wp:wrapPolygon edited="0">
                <wp:start x="-78" y="0"/>
                <wp:lineTo x="-78" y="20694"/>
                <wp:lineTo x="21613" y="20694"/>
                <wp:lineTo x="21613" y="0"/>
                <wp:lineTo x="-78" y="0"/>
              </wp:wrapPolygon>
            </wp:wrapTight>
            <wp:docPr id="9" name="Bild 5" descr="C:\Dokumente und Einstellungen\pucher\Desktop\TL_CBC1\CBC_TL_Sachen_Ceska Republik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pucher\Desktop\TL_CBC1\CBC_TL_Sachen_Ceska Republika1c.png"/>
                    <pic:cNvPicPr>
                      <a:picLocks noChangeAspect="1" noChangeArrowheads="1"/>
                    </pic:cNvPicPr>
                  </pic:nvPicPr>
                  <pic:blipFill>
                    <a:blip r:embed="rId20" cstate="print"/>
                    <a:srcRect/>
                    <a:stretch>
                      <a:fillRect/>
                    </a:stretch>
                  </pic:blipFill>
                  <pic:spPr bwMode="auto">
                    <a:xfrm>
                      <a:off x="0" y="0"/>
                      <a:ext cx="5273675" cy="2604770"/>
                    </a:xfrm>
                    <a:prstGeom prst="rect">
                      <a:avLst/>
                    </a:prstGeom>
                    <a:noFill/>
                    <a:ln w="9525">
                      <a:noFill/>
                      <a:miter lim="800000"/>
                      <a:headEnd/>
                      <a:tailEnd/>
                    </a:ln>
                  </pic:spPr>
                </pic:pic>
              </a:graphicData>
            </a:graphic>
          </wp:anchor>
        </w:drawing>
      </w:r>
      <w:r w:rsidR="00B135A2">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D469BB" w:rsidRPr="002448AA" w:rsidRDefault="00EB3663" w:rsidP="00360F0F">
      <w:pPr>
        <w:spacing w:before="120" w:after="0" w:line="240" w:lineRule="auto"/>
        <w:rPr>
          <w:noProof/>
          <w:lang w:eastAsia="en-GB"/>
        </w:rPr>
      </w:pPr>
      <w:r w:rsidRPr="002448AA">
        <w:rPr>
          <w:noProof/>
          <w:lang w:eastAsia="en-GB"/>
        </w:rPr>
        <w:t>The CBC area of Germany - Czech Republic</w:t>
      </w:r>
      <w:r w:rsidR="00D469BB" w:rsidRPr="002448AA">
        <w:rPr>
          <w:noProof/>
          <w:lang w:eastAsia="en-GB"/>
        </w:rPr>
        <w:t xml:space="preserve"> in general shows higher values in the case of long-term unemployed persons and persons at risk of poverty compared to the EU27+4 and the other CBC regions in Europe. Looking at the employment rates (BOX-PLOT 2) in the programme area compared to the EU27+4 and the CBC areas as a whole, the majority of </w:t>
      </w:r>
      <w:r w:rsidR="00274526" w:rsidRPr="002448AA">
        <w:rPr>
          <w:noProof/>
          <w:lang w:eastAsia="en-GB"/>
        </w:rPr>
        <w:t>NUTS3 regions in Germany – Czech Republic</w:t>
      </w:r>
      <w:r w:rsidR="00D469BB" w:rsidRPr="002448AA">
        <w:rPr>
          <w:noProof/>
          <w:lang w:eastAsia="en-GB"/>
        </w:rPr>
        <w:t xml:space="preserve"> have a lower employment rate. Also, compared to the national levels in </w:t>
      </w:r>
      <w:r w:rsidR="00EC6B63" w:rsidRPr="002448AA">
        <w:rPr>
          <w:noProof/>
          <w:lang w:eastAsia="en-GB"/>
        </w:rPr>
        <w:t xml:space="preserve">Germany and Czech Republic </w:t>
      </w:r>
      <w:r w:rsidR="00D469BB" w:rsidRPr="002448AA">
        <w:rPr>
          <w:noProof/>
          <w:lang w:eastAsia="en-GB"/>
        </w:rPr>
        <w:t>most of the NUTS3 regions of the CBC area count less employed persons than the two cou</w:t>
      </w:r>
      <w:r w:rsidR="00EC6B63" w:rsidRPr="002448AA">
        <w:rPr>
          <w:noProof/>
          <w:lang w:eastAsia="en-GB"/>
        </w:rPr>
        <w:t>ntries altogether. The Czech</w:t>
      </w:r>
      <w:r w:rsidR="00D469BB" w:rsidRPr="002448AA">
        <w:rPr>
          <w:noProof/>
          <w:lang w:eastAsia="en-GB"/>
        </w:rPr>
        <w:t xml:space="preserve"> region of </w:t>
      </w:r>
      <w:r w:rsidR="00EC6B63" w:rsidRPr="002448AA">
        <w:rPr>
          <w:noProof/>
          <w:lang w:eastAsia="en-GB"/>
        </w:rPr>
        <w:t xml:space="preserve">Liberecký kraj </w:t>
      </w:r>
      <w:r w:rsidR="00D469BB" w:rsidRPr="002448AA">
        <w:rPr>
          <w:noProof/>
          <w:lang w:eastAsia="en-GB"/>
        </w:rPr>
        <w:t xml:space="preserve">has an employment rate that is higher than all the other NUTS3 regions of the CBC area. Analysing the different scenarios highlighted in the ESPON DEMIFER project (MAP 3) regarding the change in labour force until 2050, it can be stated that the situation </w:t>
      </w:r>
      <w:r w:rsidRPr="002448AA">
        <w:rPr>
          <w:noProof/>
          <w:lang w:eastAsia="en-GB"/>
        </w:rPr>
        <w:t>is very similar</w:t>
      </w:r>
      <w:r w:rsidR="00D469BB" w:rsidRPr="002448AA">
        <w:rPr>
          <w:noProof/>
          <w:lang w:eastAsia="en-GB"/>
        </w:rPr>
        <w:t xml:space="preserve"> </w:t>
      </w:r>
      <w:r w:rsidRPr="002448AA">
        <w:rPr>
          <w:noProof/>
          <w:lang w:eastAsia="en-GB"/>
        </w:rPr>
        <w:t>in the German and the Czech</w:t>
      </w:r>
      <w:r w:rsidR="00D469BB" w:rsidRPr="002448AA">
        <w:rPr>
          <w:noProof/>
          <w:lang w:eastAsia="en-GB"/>
        </w:rPr>
        <w:t xml:space="preserve"> part of the cooperation area. Whatever scenario will take place, there are significantly negative changes on </w:t>
      </w:r>
      <w:r w:rsidRPr="002448AA">
        <w:rPr>
          <w:noProof/>
          <w:lang w:eastAsia="en-GB"/>
        </w:rPr>
        <w:t>both</w:t>
      </w:r>
      <w:r w:rsidR="00D469BB" w:rsidRPr="002448AA">
        <w:rPr>
          <w:noProof/>
          <w:lang w:eastAsia="en-GB"/>
        </w:rPr>
        <w:t xml:space="preserve"> side</w:t>
      </w:r>
      <w:r w:rsidRPr="002448AA">
        <w:rPr>
          <w:noProof/>
          <w:lang w:eastAsia="en-GB"/>
        </w:rPr>
        <w:t>s</w:t>
      </w:r>
      <w:r w:rsidR="00D469BB" w:rsidRPr="002448AA">
        <w:rPr>
          <w:noProof/>
          <w:lang w:eastAsia="en-GB"/>
        </w:rPr>
        <w:t xml:space="preserve"> of the border. </w:t>
      </w:r>
      <w:r w:rsidRPr="002448AA">
        <w:rPr>
          <w:noProof/>
          <w:lang w:eastAsia="en-GB"/>
        </w:rPr>
        <w:t>The Czech</w:t>
      </w:r>
      <w:r w:rsidR="00D469BB" w:rsidRPr="002448AA">
        <w:rPr>
          <w:noProof/>
          <w:lang w:eastAsia="en-GB"/>
        </w:rPr>
        <w:t xml:space="preserve"> part o</w:t>
      </w:r>
      <w:r w:rsidRPr="002448AA">
        <w:rPr>
          <w:noProof/>
          <w:lang w:eastAsia="en-GB"/>
        </w:rPr>
        <w:t xml:space="preserve">f the CBC area </w:t>
      </w:r>
      <w:r w:rsidR="00D469BB" w:rsidRPr="002448AA">
        <w:rPr>
          <w:noProof/>
          <w:lang w:eastAsia="en-GB"/>
        </w:rPr>
        <w:t>shows</w:t>
      </w:r>
      <w:r w:rsidRPr="002448AA">
        <w:rPr>
          <w:noProof/>
          <w:lang w:eastAsia="en-GB"/>
        </w:rPr>
        <w:t xml:space="preserve"> slightly less negative effect</w:t>
      </w:r>
      <w:r w:rsidR="00D469BB" w:rsidRPr="002448AA">
        <w:rPr>
          <w:noProof/>
          <w:lang w:eastAsia="en-GB"/>
        </w:rPr>
        <w:t xml:space="preserve"> in the case of the change in labour force in three out of four scenarios</w:t>
      </w:r>
      <w:r w:rsidRPr="002448AA">
        <w:rPr>
          <w:noProof/>
          <w:lang w:eastAsia="en-GB"/>
        </w:rPr>
        <w:t xml:space="preserve">. In </w:t>
      </w:r>
      <w:r w:rsidR="00D469BB" w:rsidRPr="002448AA">
        <w:rPr>
          <w:noProof/>
          <w:lang w:eastAsia="en-GB"/>
        </w:rPr>
        <w:t xml:space="preserve">the scenario “Limited Social Europe”, a </w:t>
      </w:r>
      <w:r w:rsidRPr="002448AA">
        <w:rPr>
          <w:noProof/>
          <w:lang w:eastAsia="en-GB"/>
        </w:rPr>
        <w:t xml:space="preserve">strong negative </w:t>
      </w:r>
      <w:r w:rsidR="001D4792" w:rsidRPr="002448AA">
        <w:rPr>
          <w:noProof/>
          <w:lang w:eastAsia="en-GB"/>
        </w:rPr>
        <w:t xml:space="preserve">impact on both nations can be seen. </w:t>
      </w:r>
    </w:p>
    <w:p w:rsidR="00D469BB" w:rsidRPr="00EB3663" w:rsidRDefault="00D469BB" w:rsidP="00D469BB">
      <w:pPr>
        <w:spacing w:after="0" w:line="240" w:lineRule="auto"/>
        <w:jc w:val="left"/>
        <w:rPr>
          <w:b/>
          <w:noProof/>
          <w:lang w:eastAsia="en-GB"/>
        </w:rPr>
      </w:pPr>
      <w:r w:rsidRPr="00EB3663">
        <w:rPr>
          <w:b/>
          <w:noProof/>
          <w:lang w:eastAsia="en-GB"/>
        </w:rPr>
        <w:br w:type="page"/>
      </w:r>
    </w:p>
    <w:p w:rsidR="00B135A2" w:rsidRPr="00C33A99" w:rsidRDefault="00016B50" w:rsidP="00C33A99">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040E75">
        <w:rPr>
          <w:b/>
        </w:rPr>
        <w:t>Germany Saxony - Czech Republic</w:t>
      </w:r>
    </w:p>
    <w:p w:rsidR="0089569C" w:rsidRDefault="0089569C" w:rsidP="0089569C">
      <w:pPr>
        <w:spacing w:after="0" w:line="240" w:lineRule="auto"/>
        <w:rPr>
          <w:noProof/>
          <w:lang w:eastAsia="en-GB"/>
        </w:rPr>
      </w:pPr>
    </w:p>
    <w:p w:rsidR="0089569C" w:rsidRDefault="00BA5521" w:rsidP="0089569C">
      <w:pPr>
        <w:spacing w:after="0" w:line="240" w:lineRule="auto"/>
        <w:rPr>
          <w:noProof/>
          <w:lang w:eastAsia="en-GB"/>
        </w:rPr>
      </w:pPr>
      <w:r w:rsidRPr="00BA5521">
        <w:rPr>
          <w:noProof/>
          <w:lang w:val="de-DE" w:eastAsia="de-DE"/>
        </w:rPr>
        <w:pict>
          <v:oval id="_x0000_s1032" style="position:absolute;left:0;text-align:left;margin-left:304.7pt;margin-top:116.65pt;width:20.6pt;height:11.35pt;z-index:251682304" filled="f" strokecolor="#0070c0" strokeweight="2pt"/>
        </w:pict>
      </w:r>
      <w:r w:rsidRPr="00BA5521">
        <w:rPr>
          <w:noProof/>
          <w:lang w:val="de-DE" w:eastAsia="de-DE"/>
        </w:rPr>
        <w:pict>
          <v:oval id="_x0000_s1033" style="position:absolute;left:0;text-align:left;margin-left:104.8pt;margin-top:321.45pt;width:20.6pt;height:11.35pt;z-index:251683328" filled="f" strokecolor="#0070c0" strokeweight="2pt"/>
        </w:pict>
      </w:r>
      <w:r w:rsidRPr="00BA5521">
        <w:rPr>
          <w:noProof/>
          <w:lang w:val="de-DE" w:eastAsia="de-DE"/>
        </w:rPr>
        <w:pict>
          <v:oval id="_x0000_s1034" style="position:absolute;left:0;text-align:left;margin-left:303.85pt;margin-top:320.4pt;width:20.6pt;height:11.35pt;z-index:251684352" filled="f" strokecolor="#0070c0" strokeweight="2pt"/>
        </w:pict>
      </w:r>
      <w:r w:rsidRPr="00BA5521">
        <w:rPr>
          <w:noProof/>
          <w:lang w:val="de-DE" w:eastAsia="de-DE"/>
        </w:rPr>
        <w:pict>
          <v:oval id="_x0000_s1031" style="position:absolute;left:0;text-align:left;margin-left:105.2pt;margin-top:116pt;width:20.6pt;height:11.35pt;z-index:251681280" filled="f" strokecolor="#0070c0" strokeweight="2pt"/>
        </w:pict>
      </w:r>
      <w:r w:rsidR="00D26E63">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Default="00FD4E3A" w:rsidP="00040E75">
      <w:pPr>
        <w:rPr>
          <w:noProof/>
          <w:lang w:eastAsia="en-GB"/>
        </w:rPr>
      </w:pPr>
      <w:r w:rsidRPr="009F2EE4">
        <w:rPr>
          <w:b/>
        </w:rPr>
        <w:lastRenderedPageBreak/>
        <w:t>BOX</w:t>
      </w:r>
      <w:r w:rsidR="0054220D" w:rsidRPr="009F2EE4">
        <w:rPr>
          <w:b/>
        </w:rPr>
        <w:t>-</w:t>
      </w:r>
      <w:r w:rsidRPr="009F2EE4">
        <w:rPr>
          <w:b/>
        </w:rPr>
        <w:t>PLOT</w:t>
      </w:r>
      <w:r w:rsidR="00016B50" w:rsidRPr="009F2EE4">
        <w:rPr>
          <w:b/>
        </w:rPr>
        <w:t xml:space="preserve"> 2</w:t>
      </w:r>
      <w:r w:rsidRPr="009F2EE4">
        <w:rPr>
          <w:b/>
        </w:rPr>
        <w:t xml:space="preserve"> – Employment rate 2010</w:t>
      </w:r>
      <w:r w:rsidR="002371D8" w:rsidRPr="009F2EE4">
        <w:rPr>
          <w:b/>
        </w:rPr>
        <w:t xml:space="preserve"> within the CBC </w:t>
      </w:r>
      <w:r w:rsidR="00040E75">
        <w:rPr>
          <w:b/>
        </w:rPr>
        <w:t>Germany Saxony - Czech Republic</w:t>
      </w:r>
    </w:p>
    <w:p w:rsidR="00253237" w:rsidRDefault="009F2EE4" w:rsidP="00FD4E3A">
      <w:pPr>
        <w:spacing w:after="0" w:line="240" w:lineRule="auto"/>
        <w:jc w:val="left"/>
        <w:rPr>
          <w:noProof/>
          <w:lang w:eastAsia="en-GB"/>
        </w:rPr>
      </w:pPr>
      <w:r>
        <w:rPr>
          <w:noProof/>
          <w:lang w:val="en-US"/>
        </w:rPr>
        <w:drawing>
          <wp:inline distT="0" distB="0" distL="0" distR="0">
            <wp:extent cx="5278755" cy="3895283"/>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3895283"/>
                    </a:xfrm>
                    <a:prstGeom prst="rect">
                      <a:avLst/>
                    </a:prstGeom>
                    <a:noFill/>
                    <a:ln w="9525">
                      <a:noFill/>
                      <a:miter lim="800000"/>
                      <a:headEnd/>
                      <a:tailEnd/>
                    </a:ln>
                  </pic:spPr>
                </pic:pic>
              </a:graphicData>
            </a:graphic>
          </wp:inline>
        </w:drawing>
      </w: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box-plots?” on page </w:t>
      </w:r>
      <w:r w:rsidR="0008153E">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A30728" w:rsidRDefault="005761A6" w:rsidP="005761A6">
      <w:pPr>
        <w:pStyle w:val="Heading1"/>
      </w:pPr>
      <w:r w:rsidRPr="00A30728">
        <w:lastRenderedPageBreak/>
        <w:t xml:space="preserve">Territorial factors of </w:t>
      </w:r>
      <w:r w:rsidR="00A30728" w:rsidRPr="00A30728">
        <w:t>interest for the programme area</w:t>
      </w:r>
    </w:p>
    <w:p w:rsidR="00A30728" w:rsidRDefault="00A30728" w:rsidP="00A30728">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A30728" w:rsidRDefault="00A30728" w:rsidP="00A30728">
      <w:r>
        <w:t xml:space="preserve">In a European perspective the programme area comprises mainly intermediate regions (i.e. in-between urban and rural) close to a city. The urban centres of the programme area are mainly Karlovy Vary, Usti nad Labem and Liberec. However, the development of the programme area benefits also from the close proximity to larger urban centres such as Prague, Dresden, Chemnitz, Zwickau, and in some further distance even Leipzig. </w:t>
      </w:r>
    </w:p>
    <w:p w:rsidR="00A30728" w:rsidRDefault="00A30728" w:rsidP="00A30728">
      <w:r>
        <w:t xml:space="preserve">This concerns both the access to services and infrastructure. At present, most parts of the programme areas have below European average accessibility and only limited opportunities for one-day business trips within the European urban network. It is mainly the area around Dresden that has above European average accessibility values. The close proximity to Dresden and Prague is of importance for connections to large urban centres in Europe or other parts of the Czech-Republic and Germany. When it comes to ICT infrastructure, the level of internet use and connections appears to be moderate to high in a European perspective. </w:t>
      </w:r>
    </w:p>
    <w:p w:rsidR="00A30728" w:rsidRDefault="00A30728" w:rsidP="00A30728">
      <w:r>
        <w:t xml:space="preserve">At the same time, the mainly ‘intermediate, close to a city’ character and of the programme area comprises a wide range of development opportunities and challenges. In European perspective the area is characterised as mountainous.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A30728" w:rsidRDefault="00A30728" w:rsidP="00A30728">
      <w:r>
        <w:t xml:space="preserve">Furthermore the final reports of ESPON GEOSPECS and of ESPON TERCO contain case studies on the Czech-German-Polish border area, including economic, cultural, demographic and environmental challenges and potentials. </w:t>
      </w:r>
    </w:p>
    <w:p w:rsidR="00A30728" w:rsidRDefault="00A30728" w:rsidP="00A30728">
      <w:pPr>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r>
        <w:rPr>
          <w:rFonts w:cs="Calibri"/>
          <w:sz w:val="18"/>
          <w:szCs w:val="20"/>
          <w:lang w:eastAsia="fr-FR"/>
        </w:rPr>
        <w:br/>
        <w:t>Nexus model for mountain areas</w:t>
      </w:r>
    </w:p>
    <w:p w:rsidR="00A30728" w:rsidRDefault="00A30728" w:rsidP="00A30728">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040E75">
        <w:rPr>
          <w:b/>
        </w:rPr>
        <w:t>Germany Saxony - Czech Republic</w:t>
      </w:r>
    </w:p>
    <w:p w:rsidR="0089569C" w:rsidRDefault="0089569C" w:rsidP="0089569C">
      <w:pPr>
        <w:spacing w:after="0" w:line="240" w:lineRule="auto"/>
        <w:jc w:val="left"/>
        <w:rPr>
          <w:noProof/>
          <w:lang w:eastAsia="en-GB"/>
        </w:rPr>
      </w:pPr>
    </w:p>
    <w:p w:rsidR="0089569C" w:rsidRDefault="00BA5521" w:rsidP="0089569C">
      <w:pPr>
        <w:spacing w:after="0" w:line="240" w:lineRule="auto"/>
        <w:jc w:val="left"/>
        <w:rPr>
          <w:noProof/>
          <w:lang w:eastAsia="en-GB"/>
        </w:rPr>
      </w:pPr>
      <w:r w:rsidRPr="00BA5521">
        <w:rPr>
          <w:noProof/>
          <w:lang w:val="de-DE" w:eastAsia="de-DE"/>
        </w:rPr>
        <w:pict>
          <v:oval id="_x0000_s1035" style="position:absolute;margin-left:186.1pt;margin-top:221.8pt;width:38pt;height:20.95pt;z-index:251685376" filled="f" strokecolor="#0070c0" strokeweight="2pt"/>
        </w:pict>
      </w:r>
      <w:r w:rsidR="00585182">
        <w:rPr>
          <w:noProof/>
          <w:lang w:val="en-US"/>
        </w:rPr>
        <w:drawing>
          <wp:inline distT="0" distB="0" distL="0" distR="0">
            <wp:extent cx="5278755" cy="7214065"/>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232BDE" w:rsidRPr="0085195F" w:rsidRDefault="00232BDE" w:rsidP="00232BDE">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1B540E">
      <w:pPr>
        <w:spacing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040E75">
        <w:rPr>
          <w:b/>
        </w:rPr>
        <w:t>Germany Saxony - Czech Republic</w:t>
      </w:r>
    </w:p>
    <w:p w:rsidR="001B540E" w:rsidRPr="00021CAB" w:rsidRDefault="001B540E" w:rsidP="001B540E">
      <w:pPr>
        <w:spacing w:after="240"/>
        <w:rPr>
          <w:i/>
        </w:rPr>
      </w:pPr>
      <w:r w:rsidRPr="00021CAB">
        <w:rPr>
          <w:i/>
        </w:rPr>
        <w:t>“Potential Accessibility Multimodal” scores accessibility of NUTS 3 regions by road, rail and air relative to the European average in an Accessibility Index.</w:t>
      </w:r>
    </w:p>
    <w:p w:rsidR="0089569C" w:rsidRDefault="00BA5521" w:rsidP="0089569C">
      <w:pPr>
        <w:spacing w:after="0" w:line="240" w:lineRule="auto"/>
        <w:jc w:val="left"/>
        <w:rPr>
          <w:noProof/>
          <w:lang w:eastAsia="en-GB"/>
        </w:rPr>
      </w:pPr>
      <w:r w:rsidRPr="00BA5521">
        <w:rPr>
          <w:noProof/>
          <w:lang w:val="de-DE" w:eastAsia="de-DE"/>
        </w:rPr>
        <w:pict>
          <v:oval id="_x0000_s1036" style="position:absolute;margin-left:186.45pt;margin-top:222.2pt;width:38pt;height:20.95pt;z-index:251686400" filled="f" strokecolor="#0070c0" strokeweight="2pt"/>
        </w:pict>
      </w:r>
      <w:r w:rsidR="00D26E63">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A30728" w:rsidRDefault="00040E75" w:rsidP="0019394E">
      <w:pPr>
        <w:pStyle w:val="Heading1"/>
      </w:pPr>
      <w:r w:rsidRPr="00A30728">
        <w:lastRenderedPageBreak/>
        <w:t>Recommended ESPON reading</w:t>
      </w:r>
    </w:p>
    <w:p w:rsidR="00A30728" w:rsidRDefault="00A30728" w:rsidP="00A30728">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A30728" w:rsidRDefault="00A30728" w:rsidP="00A30728">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A30728" w:rsidRPr="00A0472D" w:rsidTr="00940ECB">
        <w:trPr>
          <w:trHeight w:val="203"/>
        </w:trPr>
        <w:tc>
          <w:tcPr>
            <w:tcW w:w="1276" w:type="dxa"/>
            <w:shd w:val="clear" w:color="auto" w:fill="auto"/>
          </w:tcPr>
          <w:p w:rsidR="00A30728" w:rsidRPr="00A0472D" w:rsidRDefault="00A30728" w:rsidP="00940ECB">
            <w:pPr>
              <w:spacing w:after="0" w:line="20" w:lineRule="atLeast"/>
              <w:rPr>
                <w:b/>
                <w:sz w:val="18"/>
                <w:szCs w:val="18"/>
              </w:rPr>
            </w:pPr>
            <w:r w:rsidRPr="00A0472D">
              <w:rPr>
                <w:b/>
                <w:sz w:val="18"/>
                <w:szCs w:val="18"/>
              </w:rPr>
              <w:t>ESPON study</w:t>
            </w:r>
          </w:p>
        </w:tc>
        <w:tc>
          <w:tcPr>
            <w:tcW w:w="1418" w:type="dxa"/>
            <w:shd w:val="clear" w:color="auto" w:fill="auto"/>
          </w:tcPr>
          <w:p w:rsidR="00A30728" w:rsidRPr="00A0472D" w:rsidRDefault="00A30728" w:rsidP="00940ECB">
            <w:pPr>
              <w:spacing w:after="0" w:line="20" w:lineRule="atLeast"/>
              <w:rPr>
                <w:b/>
                <w:sz w:val="18"/>
                <w:szCs w:val="18"/>
              </w:rPr>
            </w:pPr>
            <w:r w:rsidRPr="00A0472D">
              <w:rPr>
                <w:b/>
                <w:sz w:val="18"/>
                <w:szCs w:val="18"/>
              </w:rPr>
              <w:t>Topic</w:t>
            </w:r>
          </w:p>
        </w:tc>
        <w:tc>
          <w:tcPr>
            <w:tcW w:w="5670" w:type="dxa"/>
            <w:shd w:val="clear" w:color="auto" w:fill="auto"/>
          </w:tcPr>
          <w:p w:rsidR="00A30728" w:rsidRPr="00A0472D" w:rsidRDefault="00A30728" w:rsidP="00940ECB">
            <w:pPr>
              <w:spacing w:after="0" w:line="20" w:lineRule="atLeast"/>
              <w:rPr>
                <w:b/>
                <w:sz w:val="18"/>
                <w:szCs w:val="18"/>
              </w:rPr>
            </w:pPr>
            <w:r w:rsidRPr="00A0472D">
              <w:rPr>
                <w:b/>
                <w:sz w:val="18"/>
                <w:szCs w:val="18"/>
              </w:rPr>
              <w:t>Content</w:t>
            </w:r>
          </w:p>
        </w:tc>
      </w:tr>
      <w:tr w:rsidR="00A30728" w:rsidRPr="00A0472D" w:rsidTr="00940ECB">
        <w:trPr>
          <w:trHeight w:val="274"/>
        </w:trPr>
        <w:tc>
          <w:tcPr>
            <w:tcW w:w="1276" w:type="dxa"/>
            <w:shd w:val="clear" w:color="auto" w:fill="FFFFFF" w:themeFill="background1"/>
          </w:tcPr>
          <w:p w:rsidR="00A30728" w:rsidRPr="00A0472D" w:rsidRDefault="00A30728" w:rsidP="00940ECB">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A30728" w:rsidRPr="00A0472D" w:rsidRDefault="00A30728" w:rsidP="00940ECB">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A30728" w:rsidRPr="00A0472D" w:rsidRDefault="00A30728" w:rsidP="00940ECB">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A30728" w:rsidRPr="00A0472D" w:rsidTr="00940ECB">
        <w:trPr>
          <w:trHeight w:val="274"/>
        </w:trPr>
        <w:tc>
          <w:tcPr>
            <w:tcW w:w="1276" w:type="dxa"/>
            <w:shd w:val="clear" w:color="auto" w:fill="FFFFFF" w:themeFill="background1"/>
          </w:tcPr>
          <w:p w:rsidR="00A30728" w:rsidRPr="00A0472D" w:rsidRDefault="00A30728" w:rsidP="00940ECB">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A30728" w:rsidRPr="00A0472D" w:rsidRDefault="00A30728" w:rsidP="00940ECB">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A30728" w:rsidRPr="00A0472D" w:rsidRDefault="00A30728" w:rsidP="00940ECB">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A30728" w:rsidRPr="00A0472D" w:rsidTr="00940ECB">
        <w:trPr>
          <w:trHeight w:val="274"/>
        </w:trPr>
        <w:tc>
          <w:tcPr>
            <w:tcW w:w="1276" w:type="dxa"/>
            <w:shd w:val="clear" w:color="auto" w:fill="FFFFFF" w:themeFill="background1"/>
          </w:tcPr>
          <w:p w:rsidR="00A30728" w:rsidRPr="00A0472D" w:rsidRDefault="00A30728" w:rsidP="00940ECB">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A30728" w:rsidRPr="00A0472D" w:rsidRDefault="00A30728" w:rsidP="00940ECB">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A30728" w:rsidRPr="00A0472D" w:rsidRDefault="00A30728" w:rsidP="00940ECB">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A30728" w:rsidRPr="00A0472D" w:rsidTr="00940ECB">
        <w:trPr>
          <w:trHeight w:val="274"/>
        </w:trPr>
        <w:tc>
          <w:tcPr>
            <w:tcW w:w="1276" w:type="dxa"/>
            <w:shd w:val="clear" w:color="auto" w:fill="FFFFFF" w:themeFill="background1"/>
          </w:tcPr>
          <w:p w:rsidR="00A30728" w:rsidRPr="00A0472D" w:rsidRDefault="00A30728" w:rsidP="00940ECB">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A30728" w:rsidRPr="00A0472D" w:rsidRDefault="00A30728" w:rsidP="00940ECB">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A30728" w:rsidRPr="00A0472D" w:rsidRDefault="00A30728" w:rsidP="00940ECB">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A30728" w:rsidRPr="00A0472D" w:rsidTr="00940ECB">
        <w:trPr>
          <w:trHeight w:val="274"/>
        </w:trPr>
        <w:tc>
          <w:tcPr>
            <w:tcW w:w="1276" w:type="dxa"/>
            <w:shd w:val="clear" w:color="auto" w:fill="FFFFFF" w:themeFill="background1"/>
          </w:tcPr>
          <w:p w:rsidR="00A30728" w:rsidRPr="00A0472D" w:rsidRDefault="00A30728" w:rsidP="00940ECB">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A30728" w:rsidRPr="00A0472D" w:rsidRDefault="00A30728" w:rsidP="00940ECB">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A30728" w:rsidRPr="00A0472D" w:rsidRDefault="00A30728" w:rsidP="00940ECB">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A30728" w:rsidRPr="00A0472D" w:rsidTr="00940ECB">
        <w:trPr>
          <w:trHeight w:val="274"/>
        </w:trPr>
        <w:tc>
          <w:tcPr>
            <w:tcW w:w="1276" w:type="dxa"/>
            <w:tcBorders>
              <w:bottom w:val="single" w:sz="4" w:space="0" w:color="auto"/>
            </w:tcBorders>
            <w:shd w:val="clear" w:color="auto" w:fill="FFFFFF" w:themeFill="background1"/>
          </w:tcPr>
          <w:p w:rsidR="00A30728" w:rsidRPr="00A0472D" w:rsidRDefault="00A30728" w:rsidP="00940ECB">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A30728" w:rsidRPr="00A0472D" w:rsidRDefault="00A30728" w:rsidP="00940ECB">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A30728" w:rsidRPr="00A0472D" w:rsidRDefault="00A30728" w:rsidP="00940ECB">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A30728" w:rsidRPr="00A0472D" w:rsidTr="00940ECB">
        <w:trPr>
          <w:trHeight w:val="274"/>
        </w:trPr>
        <w:tc>
          <w:tcPr>
            <w:tcW w:w="1276" w:type="dxa"/>
            <w:shd w:val="clear" w:color="auto" w:fill="FFFFFF" w:themeFill="background1"/>
          </w:tcPr>
          <w:p w:rsidR="00A30728" w:rsidRPr="008152C4" w:rsidRDefault="00A30728" w:rsidP="00940ECB">
            <w:pPr>
              <w:spacing w:after="0" w:line="20" w:lineRule="atLeast"/>
              <w:rPr>
                <w:sz w:val="18"/>
                <w:szCs w:val="18"/>
              </w:rPr>
            </w:pPr>
            <w:r>
              <w:rPr>
                <w:sz w:val="18"/>
                <w:szCs w:val="18"/>
              </w:rPr>
              <w:t>KIT</w:t>
            </w:r>
          </w:p>
        </w:tc>
        <w:tc>
          <w:tcPr>
            <w:tcW w:w="1418" w:type="dxa"/>
            <w:shd w:val="clear" w:color="auto" w:fill="FFFFFF" w:themeFill="background1"/>
          </w:tcPr>
          <w:p w:rsidR="00A30728" w:rsidRPr="008152C4" w:rsidRDefault="00A30728" w:rsidP="00940ECB">
            <w:pPr>
              <w:spacing w:after="0" w:line="20" w:lineRule="atLeast"/>
              <w:rPr>
                <w:sz w:val="18"/>
                <w:szCs w:val="18"/>
              </w:rPr>
            </w:pPr>
            <w:r w:rsidRPr="008152C4">
              <w:rPr>
                <w:sz w:val="18"/>
                <w:szCs w:val="18"/>
              </w:rPr>
              <w:t>Innovation</w:t>
            </w:r>
          </w:p>
        </w:tc>
        <w:tc>
          <w:tcPr>
            <w:tcW w:w="5670" w:type="dxa"/>
            <w:shd w:val="clear" w:color="auto" w:fill="FFFFFF" w:themeFill="background1"/>
          </w:tcPr>
          <w:p w:rsidR="00A30728" w:rsidRPr="008152C4" w:rsidRDefault="00A30728" w:rsidP="00940ECB">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A30728" w:rsidRPr="00A0472D" w:rsidTr="00940ECB">
        <w:trPr>
          <w:trHeight w:val="274"/>
        </w:trPr>
        <w:tc>
          <w:tcPr>
            <w:tcW w:w="1276" w:type="dxa"/>
            <w:shd w:val="clear" w:color="auto" w:fill="FFFFFF" w:themeFill="background1"/>
          </w:tcPr>
          <w:p w:rsidR="00A30728" w:rsidRPr="00A0472D" w:rsidRDefault="00A30728" w:rsidP="00940ECB">
            <w:pPr>
              <w:spacing w:after="0" w:line="20" w:lineRule="atLeast"/>
              <w:rPr>
                <w:sz w:val="18"/>
                <w:szCs w:val="18"/>
              </w:rPr>
            </w:pPr>
            <w:r w:rsidRPr="008152C4">
              <w:rPr>
                <w:sz w:val="18"/>
                <w:szCs w:val="18"/>
              </w:rPr>
              <w:t>SGPTD</w:t>
            </w:r>
          </w:p>
        </w:tc>
        <w:tc>
          <w:tcPr>
            <w:tcW w:w="1418" w:type="dxa"/>
            <w:shd w:val="clear" w:color="auto" w:fill="FFFFFF" w:themeFill="background1"/>
          </w:tcPr>
          <w:p w:rsidR="00A30728" w:rsidRPr="00A0472D" w:rsidRDefault="00A30728" w:rsidP="00940ECB">
            <w:pPr>
              <w:spacing w:after="0" w:line="20" w:lineRule="atLeast"/>
              <w:rPr>
                <w:sz w:val="18"/>
                <w:szCs w:val="18"/>
              </w:rPr>
            </w:pPr>
            <w:r w:rsidRPr="008152C4">
              <w:rPr>
                <w:sz w:val="18"/>
                <w:szCs w:val="18"/>
              </w:rPr>
              <w:t>Growth poles</w:t>
            </w:r>
          </w:p>
        </w:tc>
        <w:tc>
          <w:tcPr>
            <w:tcW w:w="5670" w:type="dxa"/>
            <w:shd w:val="clear" w:color="auto" w:fill="FFFFFF" w:themeFill="background1"/>
          </w:tcPr>
          <w:p w:rsidR="00A30728" w:rsidRPr="00A0472D" w:rsidRDefault="00A30728" w:rsidP="00940ECB">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A30728" w:rsidRPr="00A0472D" w:rsidTr="00940ECB">
        <w:trPr>
          <w:trHeight w:val="274"/>
        </w:trPr>
        <w:tc>
          <w:tcPr>
            <w:tcW w:w="1276" w:type="dxa"/>
            <w:shd w:val="clear" w:color="auto" w:fill="FFFFFF" w:themeFill="background1"/>
          </w:tcPr>
          <w:p w:rsidR="00A30728" w:rsidRPr="002E6E08" w:rsidRDefault="00A30728" w:rsidP="00940ECB">
            <w:pPr>
              <w:spacing w:after="0" w:line="20" w:lineRule="atLeast"/>
              <w:rPr>
                <w:sz w:val="18"/>
                <w:szCs w:val="18"/>
              </w:rPr>
            </w:pPr>
            <w:r w:rsidRPr="00837CE6">
              <w:rPr>
                <w:sz w:val="18"/>
                <w:szCs w:val="18"/>
              </w:rPr>
              <w:t>ULYSSES</w:t>
            </w:r>
          </w:p>
        </w:tc>
        <w:tc>
          <w:tcPr>
            <w:tcW w:w="1418" w:type="dxa"/>
            <w:shd w:val="clear" w:color="auto" w:fill="FFFFFF" w:themeFill="background1"/>
          </w:tcPr>
          <w:p w:rsidR="00A30728" w:rsidRPr="00837CE6" w:rsidRDefault="00A30728" w:rsidP="00940ECB">
            <w:pPr>
              <w:rPr>
                <w:sz w:val="18"/>
                <w:szCs w:val="18"/>
              </w:rPr>
            </w:pPr>
            <w:r w:rsidRPr="00837CE6">
              <w:rPr>
                <w:sz w:val="18"/>
                <w:szCs w:val="18"/>
              </w:rPr>
              <w:t>Cross-border development</w:t>
            </w:r>
          </w:p>
        </w:tc>
        <w:tc>
          <w:tcPr>
            <w:tcW w:w="5670" w:type="dxa"/>
            <w:shd w:val="clear" w:color="auto" w:fill="FFFFFF" w:themeFill="background1"/>
          </w:tcPr>
          <w:p w:rsidR="00A30728" w:rsidRDefault="00A30728" w:rsidP="00940ECB">
            <w:pPr>
              <w:spacing w:after="0" w:line="20" w:lineRule="atLeast"/>
              <w:rPr>
                <w:rFonts w:cs="Calibri"/>
                <w:sz w:val="18"/>
                <w:szCs w:val="20"/>
                <w:lang w:eastAsia="fr-FR"/>
              </w:rPr>
            </w:pPr>
            <w:r w:rsidRPr="00837CE6">
              <w:rPr>
                <w:rFonts w:cs="Calibri"/>
                <w:sz w:val="18"/>
                <w:szCs w:val="20"/>
                <w:lang w:eastAsia="fr-FR"/>
              </w:rPr>
              <w:t xml:space="preserve">It provides a “reference baseline” </w:t>
            </w:r>
            <w:r>
              <w:rPr>
                <w:rFonts w:cs="Calibri"/>
                <w:sz w:val="18"/>
                <w:szCs w:val="20"/>
                <w:lang w:eastAsia="fr-FR"/>
              </w:rPr>
              <w:t xml:space="preserve">for the </w:t>
            </w:r>
            <w:r w:rsidRPr="00837CE6">
              <w:rPr>
                <w:rFonts w:cs="Calibri"/>
                <w:sz w:val="18"/>
                <w:szCs w:val="20"/>
                <w:lang w:eastAsia="fr-FR"/>
              </w:rPr>
              <w:t xml:space="preserve">elaboration </w:t>
            </w:r>
            <w:r>
              <w:rPr>
                <w:rFonts w:cs="Calibri"/>
                <w:sz w:val="18"/>
                <w:szCs w:val="20"/>
                <w:lang w:eastAsia="fr-FR"/>
              </w:rPr>
              <w:t xml:space="preserve">of </w:t>
            </w:r>
            <w:r w:rsidRPr="00837CE6">
              <w:rPr>
                <w:rFonts w:cs="Calibri"/>
                <w:sz w:val="18"/>
                <w:szCs w:val="20"/>
                <w:lang w:eastAsia="fr-FR"/>
              </w:rPr>
              <w:t>cross-border spatial development</w:t>
            </w:r>
            <w:r>
              <w:rPr>
                <w:rFonts w:cs="Calibri"/>
                <w:sz w:val="18"/>
                <w:szCs w:val="20"/>
                <w:lang w:eastAsia="fr-FR"/>
              </w:rPr>
              <w:t xml:space="preserve"> and case studies at the German-Austrian border.</w:t>
            </w:r>
          </w:p>
        </w:tc>
      </w:tr>
      <w:tr w:rsidR="00A30728" w:rsidRPr="00A0472D" w:rsidTr="00940ECB">
        <w:trPr>
          <w:trHeight w:val="274"/>
        </w:trPr>
        <w:tc>
          <w:tcPr>
            <w:tcW w:w="1276" w:type="dxa"/>
            <w:shd w:val="clear" w:color="auto" w:fill="FFFFFF" w:themeFill="background1"/>
          </w:tcPr>
          <w:p w:rsidR="00A30728" w:rsidRPr="00A532E4" w:rsidRDefault="00A30728" w:rsidP="00940ECB">
            <w:pPr>
              <w:spacing w:after="0" w:line="20" w:lineRule="atLeast"/>
              <w:rPr>
                <w:sz w:val="18"/>
                <w:szCs w:val="18"/>
              </w:rPr>
            </w:pPr>
            <w:r w:rsidRPr="00302288">
              <w:rPr>
                <w:sz w:val="18"/>
                <w:szCs w:val="18"/>
              </w:rPr>
              <w:t>TRACC</w:t>
            </w:r>
          </w:p>
        </w:tc>
        <w:tc>
          <w:tcPr>
            <w:tcW w:w="1418" w:type="dxa"/>
            <w:shd w:val="clear" w:color="auto" w:fill="FFFFFF" w:themeFill="background1"/>
          </w:tcPr>
          <w:p w:rsidR="00A30728" w:rsidRPr="00A532E4" w:rsidRDefault="00A30728" w:rsidP="00940ECB">
            <w:pPr>
              <w:spacing w:after="0" w:line="20" w:lineRule="atLeast"/>
              <w:rPr>
                <w:sz w:val="18"/>
                <w:szCs w:val="18"/>
              </w:rPr>
            </w:pPr>
            <w:r w:rsidRPr="00302288">
              <w:rPr>
                <w:sz w:val="18"/>
                <w:szCs w:val="18"/>
              </w:rPr>
              <w:t>Transport accessibility</w:t>
            </w:r>
          </w:p>
        </w:tc>
        <w:tc>
          <w:tcPr>
            <w:tcW w:w="5670" w:type="dxa"/>
            <w:shd w:val="clear" w:color="auto" w:fill="FFFFFF" w:themeFill="background1"/>
          </w:tcPr>
          <w:p w:rsidR="00A30728" w:rsidRPr="0033165A" w:rsidRDefault="00A30728" w:rsidP="00940ECB">
            <w:pPr>
              <w:autoSpaceDE w:val="0"/>
              <w:autoSpaceDN w:val="0"/>
              <w:adjustRightInd w:val="0"/>
              <w:snapToGrid w:val="0"/>
              <w:spacing w:after="0" w:line="240" w:lineRule="auto"/>
              <w:rPr>
                <w:rFonts w:cs="Calibri"/>
                <w:sz w:val="18"/>
                <w:szCs w:val="20"/>
                <w:lang w:eastAsia="fr-FR"/>
              </w:rPr>
            </w:pPr>
            <w:r w:rsidRPr="0033165A">
              <w:rPr>
                <w:rFonts w:cs="Calibri"/>
                <w:sz w:val="18"/>
                <w:szCs w:val="20"/>
                <w:lang w:eastAsia="fr-FR"/>
              </w:rPr>
              <w:t>It delivers results to support the policy in the field of transport and accessibility.</w:t>
            </w:r>
            <w:r>
              <w:rPr>
                <w:rFonts w:cs="Calibri"/>
                <w:sz w:val="18"/>
                <w:szCs w:val="20"/>
                <w:lang w:eastAsia="fr-FR"/>
              </w:rPr>
              <w:t xml:space="preserve"> This project provides information on regions of Bavaria and Czech Republic.</w:t>
            </w:r>
          </w:p>
        </w:tc>
      </w:tr>
    </w:tbl>
    <w:p w:rsidR="00A30728" w:rsidRDefault="00A30728" w:rsidP="00A30728">
      <w:pPr>
        <w:spacing w:before="240"/>
      </w:pPr>
      <w:r>
        <w:t>Furthermore, some of overall ESPON products of particular interest for territorial cooperation are:</w:t>
      </w:r>
    </w:p>
    <w:p w:rsidR="00A30728" w:rsidRDefault="00A30728" w:rsidP="00A30728">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A30728" w:rsidRDefault="00A30728" w:rsidP="00A30728">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A30728" w:rsidRPr="00A33083" w:rsidRDefault="00A30728" w:rsidP="00A30728">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A30728" w:rsidRDefault="00A30728" w:rsidP="00A30728">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A30728" w:rsidRPr="00CD642B" w:rsidRDefault="00A30728" w:rsidP="00A30728">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A30728" w:rsidRDefault="00A30728" w:rsidP="00A30728">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A30728" w:rsidRPr="003E2CCE" w:rsidRDefault="00A30728" w:rsidP="00A30728">
      <w:pPr>
        <w:jc w:val="center"/>
      </w:pPr>
      <w:r w:rsidRPr="00CD642B">
        <w:t>All ESPON reports and tools are freely available at</w:t>
      </w:r>
      <w:r>
        <w:br/>
      </w:r>
      <w:r w:rsidRPr="00CD642B">
        <w:rPr>
          <w:b/>
        </w:rPr>
        <w:t>www.espon.eu</w:t>
      </w:r>
    </w:p>
    <w:p w:rsidR="00040E75" w:rsidRPr="00040E75" w:rsidRDefault="00040E75" w:rsidP="00040E75">
      <w:pPr>
        <w:rPr>
          <w:highlight w:val="yellow"/>
        </w:rPr>
      </w:pP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BA5521" w:rsidRPr="00BA5521">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93CA8" w:rsidRPr="00FB783A" w:rsidRDefault="00E93CA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30B" w:rsidRDefault="0067630B">
      <w:r>
        <w:separator/>
      </w:r>
    </w:p>
  </w:endnote>
  <w:endnote w:type="continuationSeparator" w:id="0">
    <w:p w:rsidR="0067630B" w:rsidRDefault="006763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BA5521" w:rsidP="00BC65E1">
    <w:pPr>
      <w:framePr w:wrap="around" w:vAnchor="text" w:hAnchor="margin" w:xAlign="right" w:y="1"/>
      <w:rPr>
        <w:rStyle w:val="PageNumber"/>
      </w:rPr>
    </w:pPr>
    <w:r>
      <w:rPr>
        <w:rStyle w:val="PageNumber"/>
      </w:rPr>
      <w:fldChar w:fldCharType="begin"/>
    </w:r>
    <w:r w:rsidR="00E93CA8">
      <w:rPr>
        <w:rStyle w:val="PageNumber"/>
      </w:rPr>
      <w:instrText xml:space="preserve">PAGE  </w:instrText>
    </w:r>
    <w:r>
      <w:rPr>
        <w:rStyle w:val="PageNumber"/>
      </w:rPr>
      <w:fldChar w:fldCharType="separate"/>
    </w:r>
    <w:r w:rsidR="00E93CA8">
      <w:rPr>
        <w:rStyle w:val="PageNumber"/>
        <w:noProof/>
      </w:rPr>
      <w:t>3</w:t>
    </w:r>
    <w:r>
      <w:rPr>
        <w:rStyle w:val="PageNumber"/>
      </w:rPr>
      <w:fldChar w:fldCharType="end"/>
    </w:r>
  </w:p>
  <w:p w:rsidR="00E93CA8" w:rsidRDefault="00E93CA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BA5521"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232BDE">
      <w:rPr>
        <w:rStyle w:val="PageNumber"/>
        <w:noProof/>
        <w:szCs w:val="20"/>
      </w:rPr>
      <w:t>1</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BA5521"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232BDE">
      <w:rPr>
        <w:rStyle w:val="PageNumber"/>
        <w:noProof/>
        <w:szCs w:val="20"/>
      </w:rPr>
      <w:t>2</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30B" w:rsidRDefault="0067630B">
      <w:r>
        <w:separator/>
      </w:r>
    </w:p>
  </w:footnote>
  <w:footnote w:type="continuationSeparator" w:id="0">
    <w:p w:rsidR="0067630B" w:rsidRDefault="006763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BA5521">
    <w:pPr>
      <w:pStyle w:val="Header"/>
    </w:pPr>
    <w:r w:rsidRPr="00BA5521">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93CA8" w:rsidRDefault="009B2BE6" w:rsidP="00BC65E1">
                <w:pPr>
                  <w:spacing w:line="240" w:lineRule="auto"/>
                  <w:ind w:left="425" w:right="530"/>
                  <w:jc w:val="center"/>
                  <w:rPr>
                    <w:rFonts w:ascii="Arial" w:hAnsi="Arial" w:cs="Arial"/>
                    <w:sz w:val="60"/>
                    <w:szCs w:val="60"/>
                  </w:rPr>
                </w:pPr>
                <w:r>
                  <w:rPr>
                    <w:rFonts w:ascii="Arial" w:hAnsi="Arial" w:cs="Arial"/>
                    <w:sz w:val="60"/>
                    <w:szCs w:val="60"/>
                  </w:rPr>
                  <w:t>ESPON</w:t>
                </w:r>
                <w:r w:rsidR="00E93CA8">
                  <w:rPr>
                    <w:rFonts w:ascii="Arial" w:hAnsi="Arial" w:cs="Arial"/>
                    <w:sz w:val="60"/>
                    <w:szCs w:val="60"/>
                  </w:rPr>
                  <w:t xml:space="preserve"> </w:t>
                </w:r>
                <w:r w:rsidR="00E93CA8">
                  <w:rPr>
                    <w:rFonts w:ascii="Arial" w:hAnsi="Arial" w:cs="Arial"/>
                    <w:sz w:val="60"/>
                    <w:szCs w:val="60"/>
                  </w:rPr>
                  <w:br/>
                  <w:t xml:space="preserve">Factsheet </w:t>
                </w:r>
              </w:p>
              <w:p w:rsidR="00E93CA8" w:rsidRPr="00721B03" w:rsidRDefault="00E93CA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93CA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E93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3FDA"/>
    <w:rsid w:val="00005954"/>
    <w:rsid w:val="000066AA"/>
    <w:rsid w:val="00010DE4"/>
    <w:rsid w:val="00011481"/>
    <w:rsid w:val="00011C3D"/>
    <w:rsid w:val="00012892"/>
    <w:rsid w:val="000136FE"/>
    <w:rsid w:val="00014F20"/>
    <w:rsid w:val="00016919"/>
    <w:rsid w:val="00016B50"/>
    <w:rsid w:val="000172BC"/>
    <w:rsid w:val="00020978"/>
    <w:rsid w:val="0002197F"/>
    <w:rsid w:val="00021A06"/>
    <w:rsid w:val="000236C3"/>
    <w:rsid w:val="00031AEC"/>
    <w:rsid w:val="00032745"/>
    <w:rsid w:val="00037716"/>
    <w:rsid w:val="00040E75"/>
    <w:rsid w:val="00041991"/>
    <w:rsid w:val="00041A22"/>
    <w:rsid w:val="0004221D"/>
    <w:rsid w:val="00043F45"/>
    <w:rsid w:val="0005037E"/>
    <w:rsid w:val="00050AB6"/>
    <w:rsid w:val="000527DC"/>
    <w:rsid w:val="00055A97"/>
    <w:rsid w:val="000576BC"/>
    <w:rsid w:val="00061CE3"/>
    <w:rsid w:val="00063161"/>
    <w:rsid w:val="00064853"/>
    <w:rsid w:val="000664C7"/>
    <w:rsid w:val="00072557"/>
    <w:rsid w:val="00073957"/>
    <w:rsid w:val="00073BFF"/>
    <w:rsid w:val="00077C32"/>
    <w:rsid w:val="000812A6"/>
    <w:rsid w:val="0008153E"/>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57C9"/>
    <w:rsid w:val="000D7710"/>
    <w:rsid w:val="000D7CC4"/>
    <w:rsid w:val="000E6CC8"/>
    <w:rsid w:val="000E76EB"/>
    <w:rsid w:val="000F1BA2"/>
    <w:rsid w:val="000F2140"/>
    <w:rsid w:val="00104631"/>
    <w:rsid w:val="00105B9D"/>
    <w:rsid w:val="00112060"/>
    <w:rsid w:val="001120BB"/>
    <w:rsid w:val="00112693"/>
    <w:rsid w:val="0011785C"/>
    <w:rsid w:val="0012533B"/>
    <w:rsid w:val="001260F4"/>
    <w:rsid w:val="00127104"/>
    <w:rsid w:val="00132FDD"/>
    <w:rsid w:val="00133602"/>
    <w:rsid w:val="00134DC7"/>
    <w:rsid w:val="0013600B"/>
    <w:rsid w:val="001507D7"/>
    <w:rsid w:val="00150A5A"/>
    <w:rsid w:val="00150FCB"/>
    <w:rsid w:val="00151954"/>
    <w:rsid w:val="00152974"/>
    <w:rsid w:val="00153108"/>
    <w:rsid w:val="0015691A"/>
    <w:rsid w:val="00157B13"/>
    <w:rsid w:val="00162FF6"/>
    <w:rsid w:val="0016435C"/>
    <w:rsid w:val="00172B99"/>
    <w:rsid w:val="001749A8"/>
    <w:rsid w:val="00175E0C"/>
    <w:rsid w:val="00177F91"/>
    <w:rsid w:val="00180D67"/>
    <w:rsid w:val="00182673"/>
    <w:rsid w:val="001838FE"/>
    <w:rsid w:val="00184B93"/>
    <w:rsid w:val="001907DA"/>
    <w:rsid w:val="00191F3D"/>
    <w:rsid w:val="001929F2"/>
    <w:rsid w:val="0019394E"/>
    <w:rsid w:val="00193F6F"/>
    <w:rsid w:val="001A0A8D"/>
    <w:rsid w:val="001A30F4"/>
    <w:rsid w:val="001A42AD"/>
    <w:rsid w:val="001A4E00"/>
    <w:rsid w:val="001A7669"/>
    <w:rsid w:val="001B0526"/>
    <w:rsid w:val="001B13B6"/>
    <w:rsid w:val="001B300C"/>
    <w:rsid w:val="001B540E"/>
    <w:rsid w:val="001B6A94"/>
    <w:rsid w:val="001C043A"/>
    <w:rsid w:val="001C0C1D"/>
    <w:rsid w:val="001C0F06"/>
    <w:rsid w:val="001C4CA6"/>
    <w:rsid w:val="001C7CD0"/>
    <w:rsid w:val="001D0F57"/>
    <w:rsid w:val="001D187B"/>
    <w:rsid w:val="001D4792"/>
    <w:rsid w:val="001D594F"/>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2BDE"/>
    <w:rsid w:val="002371D8"/>
    <w:rsid w:val="002448AA"/>
    <w:rsid w:val="00253237"/>
    <w:rsid w:val="0025373C"/>
    <w:rsid w:val="002605E0"/>
    <w:rsid w:val="0026077F"/>
    <w:rsid w:val="00264534"/>
    <w:rsid w:val="00265996"/>
    <w:rsid w:val="00274526"/>
    <w:rsid w:val="00276DA6"/>
    <w:rsid w:val="00281A82"/>
    <w:rsid w:val="00282854"/>
    <w:rsid w:val="00285BF3"/>
    <w:rsid w:val="002923B9"/>
    <w:rsid w:val="00293ABA"/>
    <w:rsid w:val="00293DE9"/>
    <w:rsid w:val="00294042"/>
    <w:rsid w:val="002949F4"/>
    <w:rsid w:val="002977F3"/>
    <w:rsid w:val="002A0221"/>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683E"/>
    <w:rsid w:val="002F713F"/>
    <w:rsid w:val="00303833"/>
    <w:rsid w:val="00304555"/>
    <w:rsid w:val="00304A46"/>
    <w:rsid w:val="003052B2"/>
    <w:rsid w:val="0030699A"/>
    <w:rsid w:val="00322B33"/>
    <w:rsid w:val="003253E2"/>
    <w:rsid w:val="003351B4"/>
    <w:rsid w:val="00337519"/>
    <w:rsid w:val="00337872"/>
    <w:rsid w:val="00337BD2"/>
    <w:rsid w:val="00344591"/>
    <w:rsid w:val="00351255"/>
    <w:rsid w:val="00351563"/>
    <w:rsid w:val="003526D5"/>
    <w:rsid w:val="00352B1D"/>
    <w:rsid w:val="00352D76"/>
    <w:rsid w:val="00353B5C"/>
    <w:rsid w:val="0035504D"/>
    <w:rsid w:val="00360F0F"/>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B2D3E"/>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0D17"/>
    <w:rsid w:val="003F196C"/>
    <w:rsid w:val="003F6066"/>
    <w:rsid w:val="00401DDB"/>
    <w:rsid w:val="004024D3"/>
    <w:rsid w:val="00402955"/>
    <w:rsid w:val="004043C4"/>
    <w:rsid w:val="004047DE"/>
    <w:rsid w:val="00404925"/>
    <w:rsid w:val="004054C3"/>
    <w:rsid w:val="0040760B"/>
    <w:rsid w:val="00410A29"/>
    <w:rsid w:val="004122A0"/>
    <w:rsid w:val="00412A75"/>
    <w:rsid w:val="00412C19"/>
    <w:rsid w:val="00416E67"/>
    <w:rsid w:val="004173E4"/>
    <w:rsid w:val="004177FC"/>
    <w:rsid w:val="0042391C"/>
    <w:rsid w:val="0042502E"/>
    <w:rsid w:val="00433090"/>
    <w:rsid w:val="004353CB"/>
    <w:rsid w:val="0044029A"/>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3E58"/>
    <w:rsid w:val="004A4AC7"/>
    <w:rsid w:val="004A52D3"/>
    <w:rsid w:val="004B03FD"/>
    <w:rsid w:val="004B2204"/>
    <w:rsid w:val="004B2360"/>
    <w:rsid w:val="004B2688"/>
    <w:rsid w:val="004B33EC"/>
    <w:rsid w:val="004B3A9D"/>
    <w:rsid w:val="004B48CD"/>
    <w:rsid w:val="004C1DA5"/>
    <w:rsid w:val="004C4307"/>
    <w:rsid w:val="004C462E"/>
    <w:rsid w:val="004C71AB"/>
    <w:rsid w:val="004D2437"/>
    <w:rsid w:val="004D6E70"/>
    <w:rsid w:val="004D778F"/>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33C5"/>
    <w:rsid w:val="00545F8A"/>
    <w:rsid w:val="005463AC"/>
    <w:rsid w:val="00552FAD"/>
    <w:rsid w:val="00556BA8"/>
    <w:rsid w:val="00556D25"/>
    <w:rsid w:val="00562AB0"/>
    <w:rsid w:val="0056756F"/>
    <w:rsid w:val="00571653"/>
    <w:rsid w:val="00571A61"/>
    <w:rsid w:val="00571C81"/>
    <w:rsid w:val="0057346D"/>
    <w:rsid w:val="005761A6"/>
    <w:rsid w:val="00582C35"/>
    <w:rsid w:val="00585182"/>
    <w:rsid w:val="00585345"/>
    <w:rsid w:val="00590767"/>
    <w:rsid w:val="00593AD0"/>
    <w:rsid w:val="00593B7A"/>
    <w:rsid w:val="00595161"/>
    <w:rsid w:val="005967A2"/>
    <w:rsid w:val="00597872"/>
    <w:rsid w:val="005A3E20"/>
    <w:rsid w:val="005A73D9"/>
    <w:rsid w:val="005A7DFC"/>
    <w:rsid w:val="005B3722"/>
    <w:rsid w:val="005C108D"/>
    <w:rsid w:val="005C58DE"/>
    <w:rsid w:val="005C6D17"/>
    <w:rsid w:val="005D0C21"/>
    <w:rsid w:val="005D1921"/>
    <w:rsid w:val="005D2D0B"/>
    <w:rsid w:val="005D53EE"/>
    <w:rsid w:val="005D621D"/>
    <w:rsid w:val="005D78FE"/>
    <w:rsid w:val="005E429B"/>
    <w:rsid w:val="005E463C"/>
    <w:rsid w:val="005E4E4C"/>
    <w:rsid w:val="005E6290"/>
    <w:rsid w:val="005F24DD"/>
    <w:rsid w:val="005F7BDC"/>
    <w:rsid w:val="0060091E"/>
    <w:rsid w:val="00610DAB"/>
    <w:rsid w:val="0061660C"/>
    <w:rsid w:val="00616DE9"/>
    <w:rsid w:val="0061757F"/>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7630B"/>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1423"/>
    <w:rsid w:val="006B48FD"/>
    <w:rsid w:val="006B59A1"/>
    <w:rsid w:val="006C481B"/>
    <w:rsid w:val="006D18CA"/>
    <w:rsid w:val="006D3D3E"/>
    <w:rsid w:val="006D4D0B"/>
    <w:rsid w:val="006D5157"/>
    <w:rsid w:val="006D5350"/>
    <w:rsid w:val="006D6890"/>
    <w:rsid w:val="006E1A6B"/>
    <w:rsid w:val="006E4366"/>
    <w:rsid w:val="006E5E38"/>
    <w:rsid w:val="006E618B"/>
    <w:rsid w:val="006F097E"/>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168"/>
    <w:rsid w:val="007423B2"/>
    <w:rsid w:val="007456E2"/>
    <w:rsid w:val="00747707"/>
    <w:rsid w:val="00761029"/>
    <w:rsid w:val="0076148F"/>
    <w:rsid w:val="007656EC"/>
    <w:rsid w:val="00770B59"/>
    <w:rsid w:val="00771843"/>
    <w:rsid w:val="0077695D"/>
    <w:rsid w:val="00780AAF"/>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177C7"/>
    <w:rsid w:val="00823513"/>
    <w:rsid w:val="0082390C"/>
    <w:rsid w:val="00823FCF"/>
    <w:rsid w:val="00825DD5"/>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62795"/>
    <w:rsid w:val="008657DB"/>
    <w:rsid w:val="008657FD"/>
    <w:rsid w:val="00871839"/>
    <w:rsid w:val="00875551"/>
    <w:rsid w:val="00876AC8"/>
    <w:rsid w:val="008829C7"/>
    <w:rsid w:val="00882F9C"/>
    <w:rsid w:val="00885028"/>
    <w:rsid w:val="00886C11"/>
    <w:rsid w:val="00887A8C"/>
    <w:rsid w:val="00891455"/>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4ABD"/>
    <w:rsid w:val="0093778A"/>
    <w:rsid w:val="0094059F"/>
    <w:rsid w:val="00943F1C"/>
    <w:rsid w:val="00946375"/>
    <w:rsid w:val="00951B33"/>
    <w:rsid w:val="00952C12"/>
    <w:rsid w:val="009540EB"/>
    <w:rsid w:val="009607D7"/>
    <w:rsid w:val="00967628"/>
    <w:rsid w:val="00971C9B"/>
    <w:rsid w:val="009727D3"/>
    <w:rsid w:val="009729A4"/>
    <w:rsid w:val="00973416"/>
    <w:rsid w:val="00974016"/>
    <w:rsid w:val="00974649"/>
    <w:rsid w:val="00977AED"/>
    <w:rsid w:val="00977C10"/>
    <w:rsid w:val="00983AB6"/>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D7448"/>
    <w:rsid w:val="009E0BD5"/>
    <w:rsid w:val="009E1C7F"/>
    <w:rsid w:val="009E361D"/>
    <w:rsid w:val="009E51E3"/>
    <w:rsid w:val="009E5720"/>
    <w:rsid w:val="009E62EA"/>
    <w:rsid w:val="009E70A1"/>
    <w:rsid w:val="009F21F0"/>
    <w:rsid w:val="009F2583"/>
    <w:rsid w:val="009F2EE4"/>
    <w:rsid w:val="009F3D83"/>
    <w:rsid w:val="009F7055"/>
    <w:rsid w:val="009F7417"/>
    <w:rsid w:val="009F77A8"/>
    <w:rsid w:val="00A02FD6"/>
    <w:rsid w:val="00A0472D"/>
    <w:rsid w:val="00A12916"/>
    <w:rsid w:val="00A13CDE"/>
    <w:rsid w:val="00A13E7F"/>
    <w:rsid w:val="00A14BAC"/>
    <w:rsid w:val="00A15B61"/>
    <w:rsid w:val="00A16062"/>
    <w:rsid w:val="00A2166F"/>
    <w:rsid w:val="00A24B55"/>
    <w:rsid w:val="00A265BE"/>
    <w:rsid w:val="00A304AA"/>
    <w:rsid w:val="00A30728"/>
    <w:rsid w:val="00A31617"/>
    <w:rsid w:val="00A32AD2"/>
    <w:rsid w:val="00A33083"/>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5D44"/>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640F"/>
    <w:rsid w:val="00B2763C"/>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093F"/>
    <w:rsid w:val="00B61D5A"/>
    <w:rsid w:val="00B7058E"/>
    <w:rsid w:val="00B728C8"/>
    <w:rsid w:val="00B746BB"/>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521"/>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4DF0"/>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1AD8"/>
    <w:rsid w:val="00C9580A"/>
    <w:rsid w:val="00C9704F"/>
    <w:rsid w:val="00CA207A"/>
    <w:rsid w:val="00CA3C33"/>
    <w:rsid w:val="00CA4369"/>
    <w:rsid w:val="00CA6583"/>
    <w:rsid w:val="00CB28C9"/>
    <w:rsid w:val="00CB4584"/>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5198"/>
    <w:rsid w:val="00D26713"/>
    <w:rsid w:val="00D26E63"/>
    <w:rsid w:val="00D31694"/>
    <w:rsid w:val="00D318F2"/>
    <w:rsid w:val="00D32EA8"/>
    <w:rsid w:val="00D401D5"/>
    <w:rsid w:val="00D41605"/>
    <w:rsid w:val="00D42ABD"/>
    <w:rsid w:val="00D42E31"/>
    <w:rsid w:val="00D42EB6"/>
    <w:rsid w:val="00D44FB6"/>
    <w:rsid w:val="00D469BB"/>
    <w:rsid w:val="00D47BAC"/>
    <w:rsid w:val="00D510B6"/>
    <w:rsid w:val="00D515B8"/>
    <w:rsid w:val="00D51F83"/>
    <w:rsid w:val="00D52B90"/>
    <w:rsid w:val="00D52DB1"/>
    <w:rsid w:val="00D54869"/>
    <w:rsid w:val="00D559A1"/>
    <w:rsid w:val="00D67AFE"/>
    <w:rsid w:val="00D72C5E"/>
    <w:rsid w:val="00D74BD3"/>
    <w:rsid w:val="00D77200"/>
    <w:rsid w:val="00D81724"/>
    <w:rsid w:val="00D8210F"/>
    <w:rsid w:val="00D83C64"/>
    <w:rsid w:val="00DA1668"/>
    <w:rsid w:val="00DA20D3"/>
    <w:rsid w:val="00DA3493"/>
    <w:rsid w:val="00DA3852"/>
    <w:rsid w:val="00DA49C4"/>
    <w:rsid w:val="00DA63BF"/>
    <w:rsid w:val="00DA6F83"/>
    <w:rsid w:val="00DB42BD"/>
    <w:rsid w:val="00DB605C"/>
    <w:rsid w:val="00DC0823"/>
    <w:rsid w:val="00DC1EFB"/>
    <w:rsid w:val="00DC21BC"/>
    <w:rsid w:val="00DC3E4C"/>
    <w:rsid w:val="00DC4E40"/>
    <w:rsid w:val="00DC55C7"/>
    <w:rsid w:val="00DC60A4"/>
    <w:rsid w:val="00DC6422"/>
    <w:rsid w:val="00DD0539"/>
    <w:rsid w:val="00DD5DDA"/>
    <w:rsid w:val="00DE0D99"/>
    <w:rsid w:val="00DE584B"/>
    <w:rsid w:val="00DF22D8"/>
    <w:rsid w:val="00DF2717"/>
    <w:rsid w:val="00DF76E3"/>
    <w:rsid w:val="00E02024"/>
    <w:rsid w:val="00E03013"/>
    <w:rsid w:val="00E03104"/>
    <w:rsid w:val="00E03ABA"/>
    <w:rsid w:val="00E04EC2"/>
    <w:rsid w:val="00E10213"/>
    <w:rsid w:val="00E108F5"/>
    <w:rsid w:val="00E11808"/>
    <w:rsid w:val="00E21E7C"/>
    <w:rsid w:val="00E27072"/>
    <w:rsid w:val="00E32184"/>
    <w:rsid w:val="00E32185"/>
    <w:rsid w:val="00E32FB2"/>
    <w:rsid w:val="00E34305"/>
    <w:rsid w:val="00E34406"/>
    <w:rsid w:val="00E35F66"/>
    <w:rsid w:val="00E42BB9"/>
    <w:rsid w:val="00E443A6"/>
    <w:rsid w:val="00E4472B"/>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3663"/>
    <w:rsid w:val="00EB5570"/>
    <w:rsid w:val="00EB6387"/>
    <w:rsid w:val="00EB7D50"/>
    <w:rsid w:val="00EC3F39"/>
    <w:rsid w:val="00EC4562"/>
    <w:rsid w:val="00EC6878"/>
    <w:rsid w:val="00EC6B63"/>
    <w:rsid w:val="00ED077F"/>
    <w:rsid w:val="00ED236B"/>
    <w:rsid w:val="00ED58B7"/>
    <w:rsid w:val="00ED5923"/>
    <w:rsid w:val="00EE082D"/>
    <w:rsid w:val="00EE2B02"/>
    <w:rsid w:val="00EE31B3"/>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3902"/>
    <w:rsid w:val="00F47743"/>
    <w:rsid w:val="00F519FB"/>
    <w:rsid w:val="00F54E2D"/>
    <w:rsid w:val="00F57119"/>
    <w:rsid w:val="00F60CB5"/>
    <w:rsid w:val="00F70635"/>
    <w:rsid w:val="00F738B9"/>
    <w:rsid w:val="00F74241"/>
    <w:rsid w:val="00F77867"/>
    <w:rsid w:val="00F77A11"/>
    <w:rsid w:val="00F77AD1"/>
    <w:rsid w:val="00F804D1"/>
    <w:rsid w:val="00F8766A"/>
    <w:rsid w:val="00F92391"/>
    <w:rsid w:val="00FA0267"/>
    <w:rsid w:val="00FA1FBB"/>
    <w:rsid w:val="00FB2530"/>
    <w:rsid w:val="00FB3AD9"/>
    <w:rsid w:val="00FC08B7"/>
    <w:rsid w:val="00FC2270"/>
    <w:rsid w:val="00FC5035"/>
    <w:rsid w:val="00FC6A8F"/>
    <w:rsid w:val="00FD413B"/>
    <w:rsid w:val="00FD4684"/>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34611944">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637026645">
      <w:bodyDiv w:val="1"/>
      <w:marLeft w:val="0"/>
      <w:marRight w:val="0"/>
      <w:marTop w:val="0"/>
      <w:marBottom w:val="0"/>
      <w:divBdr>
        <w:top w:val="none" w:sz="0" w:space="0" w:color="auto"/>
        <w:left w:val="none" w:sz="0" w:space="0" w:color="auto"/>
        <w:bottom w:val="none" w:sz="0" w:space="0" w:color="auto"/>
        <w:right w:val="none" w:sz="0" w:space="0" w:color="auto"/>
      </w:divBdr>
    </w:div>
    <w:div w:id="1740207878">
      <w:bodyDiv w:val="1"/>
      <w:marLeft w:val="0"/>
      <w:marRight w:val="0"/>
      <w:marTop w:val="0"/>
      <w:marBottom w:val="0"/>
      <w:divBdr>
        <w:top w:val="none" w:sz="0" w:space="0" w:color="auto"/>
        <w:left w:val="none" w:sz="0" w:space="0" w:color="auto"/>
        <w:bottom w:val="none" w:sz="0" w:space="0" w:color="auto"/>
        <w:right w:val="none" w:sz="0" w:space="0" w:color="auto"/>
      </w:divBdr>
    </w:div>
    <w:div w:id="1934508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04F14A28-2F31-4F22-AE8E-A860ABDB2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2937</Words>
  <Characters>16745</Characters>
  <Application>Microsoft Office Word</Application>
  <DocSecurity>0</DocSecurity>
  <Lines>139</Lines>
  <Paragraphs>39</Paragraphs>
  <ScaleCrop>false</ScaleCrop>
  <HeadingPairs>
    <vt:vector size="10" baseType="variant">
      <vt:variant>
        <vt:lpstr>Titel</vt:lpstr>
      </vt:variant>
      <vt:variant>
        <vt:i4>1</vt:i4>
      </vt:variant>
      <vt:variant>
        <vt:lpstr>Cím</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19643</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11</cp:revision>
  <cp:lastPrinted>2012-10-24T14:56:00Z</cp:lastPrinted>
  <dcterms:created xsi:type="dcterms:W3CDTF">2012-11-20T10:13:00Z</dcterms:created>
  <dcterms:modified xsi:type="dcterms:W3CDTF">2012-11-27T11:44:00Z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