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1CE" w:rsidRDefault="00B471CE" w:rsidP="00BC65E1"/>
    <w:p w:rsidR="00B471CE" w:rsidRDefault="00B471CE" w:rsidP="00BC65E1"/>
    <w:p w:rsidR="00B471CE" w:rsidRDefault="00B471CE" w:rsidP="00BC65E1"/>
    <w:p w:rsidR="00B471CE" w:rsidRDefault="00B471CE" w:rsidP="00BC65E1">
      <w:pPr>
        <w:jc w:val="center"/>
        <w:rPr>
          <w:rFonts w:ascii="Arial" w:hAnsi="Arial" w:cs="Arial"/>
          <w:sz w:val="32"/>
          <w:szCs w:val="32"/>
          <w:lang w:val="en-US"/>
        </w:rPr>
      </w:pPr>
    </w:p>
    <w:p w:rsidR="00B471CE" w:rsidRDefault="00B471CE" w:rsidP="00BC65E1">
      <w:pPr>
        <w:jc w:val="center"/>
        <w:rPr>
          <w:rFonts w:ascii="Arial" w:hAnsi="Arial" w:cs="Arial"/>
          <w:sz w:val="32"/>
          <w:szCs w:val="32"/>
          <w:lang w:val="en-US"/>
        </w:rPr>
      </w:pPr>
    </w:p>
    <w:p w:rsidR="00B471CE" w:rsidRDefault="00B471CE" w:rsidP="00BC65E1">
      <w:pPr>
        <w:spacing w:after="0" w:line="240" w:lineRule="auto"/>
        <w:jc w:val="center"/>
        <w:rPr>
          <w:rFonts w:ascii="Arial" w:hAnsi="Arial" w:cs="Arial"/>
          <w:sz w:val="32"/>
          <w:szCs w:val="32"/>
          <w:lang w:val="en-US"/>
        </w:rPr>
      </w:pPr>
    </w:p>
    <w:p w:rsidR="00B471CE" w:rsidRDefault="00B471CE" w:rsidP="00BC65E1">
      <w:pPr>
        <w:spacing w:after="0" w:line="240" w:lineRule="auto"/>
        <w:jc w:val="center"/>
        <w:rPr>
          <w:rFonts w:ascii="Arial" w:hAnsi="Arial" w:cs="Arial"/>
          <w:sz w:val="32"/>
          <w:szCs w:val="32"/>
          <w:lang w:val="en-US"/>
        </w:rPr>
      </w:pPr>
    </w:p>
    <w:p w:rsidR="00B471CE" w:rsidRDefault="00B471CE" w:rsidP="00BC65E1">
      <w:pPr>
        <w:spacing w:after="0" w:line="240" w:lineRule="auto"/>
        <w:jc w:val="center"/>
        <w:rPr>
          <w:rFonts w:ascii="Arial" w:hAnsi="Arial" w:cs="Arial"/>
          <w:sz w:val="32"/>
          <w:szCs w:val="32"/>
          <w:lang w:val="en-US"/>
        </w:rPr>
      </w:pPr>
    </w:p>
    <w:p w:rsidR="00B471CE" w:rsidRDefault="00B471CE" w:rsidP="00BC65E1">
      <w:pPr>
        <w:spacing w:after="0" w:line="240" w:lineRule="auto"/>
        <w:jc w:val="center"/>
        <w:rPr>
          <w:rFonts w:ascii="Arial" w:hAnsi="Arial" w:cs="Arial"/>
          <w:sz w:val="32"/>
          <w:szCs w:val="32"/>
          <w:lang w:val="en-US"/>
        </w:rPr>
      </w:pPr>
    </w:p>
    <w:p w:rsidR="00B471CE" w:rsidRDefault="00B471CE" w:rsidP="00FC5035">
      <w:pPr>
        <w:spacing w:after="0" w:line="240" w:lineRule="auto"/>
        <w:rPr>
          <w:rFonts w:ascii="Arial" w:hAnsi="Arial" w:cs="Arial"/>
          <w:sz w:val="32"/>
          <w:szCs w:val="32"/>
          <w:lang w:val="en-US"/>
        </w:rPr>
      </w:pPr>
    </w:p>
    <w:p w:rsidR="00B471CE" w:rsidRPr="00E20BC8" w:rsidRDefault="00B471CE" w:rsidP="002A15B2">
      <w:pPr>
        <w:spacing w:line="240" w:lineRule="auto"/>
        <w:ind w:left="-851"/>
        <w:jc w:val="center"/>
        <w:rPr>
          <w:rFonts w:ascii="Arial" w:hAnsi="Arial" w:cs="Arial"/>
          <w:sz w:val="40"/>
          <w:szCs w:val="40"/>
          <w:lang w:val="en-US"/>
        </w:rPr>
      </w:pPr>
      <w:r w:rsidRPr="00E20BC8">
        <w:rPr>
          <w:rFonts w:ascii="Arial" w:hAnsi="Arial" w:cs="Arial"/>
          <w:sz w:val="40"/>
          <w:szCs w:val="40"/>
          <w:lang w:val="en-US"/>
        </w:rPr>
        <w:t>France – Switzerland</w:t>
      </w:r>
    </w:p>
    <w:p w:rsidR="00B471CE" w:rsidRDefault="00AE16F5"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65920" behindDoc="0" locked="0" layoutInCell="1" allowOverlap="1">
            <wp:simplePos x="0" y="0"/>
            <wp:positionH relativeFrom="column">
              <wp:posOffset>3053715</wp:posOffset>
            </wp:positionH>
            <wp:positionV relativeFrom="paragraph">
              <wp:posOffset>4191000</wp:posOffset>
            </wp:positionV>
            <wp:extent cx="915035" cy="414655"/>
            <wp:effectExtent l="19050" t="0" r="0" b="0"/>
            <wp:wrapNone/>
            <wp:docPr id="1"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7"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403B49">
        <w:rPr>
          <w:rFonts w:ascii="Arial" w:hAnsi="Arial" w:cs="Arial"/>
          <w:noProof/>
          <w:sz w:val="32"/>
          <w:szCs w:val="32"/>
          <w:lang w:val="en-US"/>
        </w:rPr>
        <w:drawing>
          <wp:inline distT="0" distB="0" distL="0" distR="0">
            <wp:extent cx="3492500" cy="4838700"/>
            <wp:effectExtent l="25400" t="0" r="0" b="0"/>
            <wp:docPr id="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8" cstate="print"/>
                    <a:srcRect/>
                    <a:stretch>
                      <a:fillRect/>
                    </a:stretch>
                  </pic:blipFill>
                  <pic:spPr bwMode="auto">
                    <a:xfrm>
                      <a:off x="0" y="0"/>
                      <a:ext cx="3492500" cy="4838700"/>
                    </a:xfrm>
                    <a:prstGeom prst="rect">
                      <a:avLst/>
                    </a:prstGeom>
                    <a:noFill/>
                    <a:ln w="9525">
                      <a:noFill/>
                      <a:miter lim="800000"/>
                      <a:headEnd/>
                      <a:tailEnd/>
                    </a:ln>
                  </pic:spPr>
                </pic:pic>
              </a:graphicData>
            </a:graphic>
          </wp:inline>
        </w:drawing>
      </w:r>
    </w:p>
    <w:p w:rsidR="00B471CE" w:rsidRDefault="00B471CE" w:rsidP="00337519">
      <w:pPr>
        <w:spacing w:after="0" w:line="240" w:lineRule="auto"/>
        <w:ind w:left="-851"/>
        <w:jc w:val="center"/>
        <w:rPr>
          <w:rFonts w:ascii="Arial" w:hAnsi="Arial" w:cs="Arial"/>
          <w:sz w:val="32"/>
          <w:szCs w:val="32"/>
          <w:lang w:val="en-US"/>
        </w:rPr>
      </w:pPr>
    </w:p>
    <w:p w:rsidR="00E20BC8" w:rsidRDefault="00E20BC8" w:rsidP="00E20BC8">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E20BC8" w:rsidRDefault="00E20BC8" w:rsidP="00E20BC8">
      <w:pPr>
        <w:spacing w:after="0" w:line="240" w:lineRule="auto"/>
        <w:ind w:left="-851"/>
        <w:jc w:val="center"/>
        <w:rPr>
          <w:rFonts w:ascii="Arial" w:hAnsi="Arial" w:cs="Arial"/>
        </w:rPr>
      </w:pPr>
      <w:r>
        <w:rPr>
          <w:rFonts w:ascii="Arial" w:hAnsi="Arial" w:cs="Arial"/>
          <w:sz w:val="32"/>
          <w:szCs w:val="32"/>
          <w:lang w:val="en-US"/>
        </w:rPr>
        <w:t>November 2012</w:t>
      </w:r>
    </w:p>
    <w:p w:rsidR="00B471CE" w:rsidRPr="00127102" w:rsidRDefault="00B471CE" w:rsidP="00BC65E1">
      <w:pPr>
        <w:pStyle w:val="ESPONColophon"/>
        <w:ind w:left="810"/>
        <w:rPr>
          <w:rFonts w:ascii="Arial" w:hAnsi="Arial" w:cs="Arial"/>
        </w:rPr>
      </w:pPr>
    </w:p>
    <w:p w:rsidR="00B471CE" w:rsidRPr="00127102" w:rsidRDefault="00B471CE" w:rsidP="00BC65E1">
      <w:pPr>
        <w:pStyle w:val="ESPONColophon"/>
        <w:ind w:left="810"/>
        <w:rPr>
          <w:rFonts w:ascii="Arial" w:hAnsi="Arial" w:cs="Arial"/>
        </w:rPr>
        <w:sectPr w:rsidR="00B471CE" w:rsidRPr="00127102">
          <w:headerReference w:type="default" r:id="rId9"/>
          <w:footerReference w:type="even" r:id="rId10"/>
          <w:footerReference w:type="default" r:id="rId11"/>
          <w:pgSz w:w="11906" w:h="16838"/>
          <w:pgMar w:top="0" w:right="851" w:bottom="1644" w:left="1701" w:header="708" w:footer="708" w:gutter="0"/>
          <w:cols w:space="708"/>
        </w:sectPr>
      </w:pPr>
    </w:p>
    <w:p w:rsidR="00B471CE" w:rsidRPr="006955F2" w:rsidRDefault="00B471CE" w:rsidP="00133602">
      <w:pPr>
        <w:pStyle w:val="Heading1"/>
        <w:numPr>
          <w:ilvl w:val="0"/>
          <w:numId w:val="0"/>
        </w:numPr>
        <w:ind w:left="432" w:hanging="432"/>
      </w:pPr>
      <w:r>
        <w:lastRenderedPageBreak/>
        <w:t>Introduction</w:t>
      </w:r>
    </w:p>
    <w:p w:rsidR="00B471CE" w:rsidRDefault="00B471CE"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B471CE" w:rsidRDefault="00B471CE" w:rsidP="000A647A">
      <w:r>
        <w:t xml:space="preserve">The ESPON TERREVI project focuses on producing evidence for Structural Funds programmes with the aim to support the development of the programmes to be carried out in the 2014-2020 period. </w:t>
      </w:r>
    </w:p>
    <w:p w:rsidR="00B471CE" w:rsidRDefault="00B471CE" w:rsidP="00A265BE">
      <w:pPr>
        <w:shd w:val="clear" w:color="auto" w:fill="FFFFFF"/>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B471CE" w:rsidRPr="007456E2" w:rsidRDefault="00B471CE" w:rsidP="00A265BE">
      <w:pPr>
        <w:shd w:val="clear" w:color="auto" w:fill="FFFFFF"/>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t>.</w:t>
      </w:r>
    </w:p>
    <w:p w:rsidR="002F474E" w:rsidRPr="0085195F" w:rsidRDefault="00B471CE" w:rsidP="002F474E">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2F474E" w:rsidRPr="0085195F">
        <w:t>This is intended as an electronic publication so map quality is generally high to allow users to zoom into specific territories.</w:t>
      </w:r>
    </w:p>
    <w:p w:rsidR="00B471CE" w:rsidRDefault="002F474E" w:rsidP="00A265BE">
      <w:pPr>
        <w:shd w:val="clear" w:color="auto" w:fill="FFFFFF"/>
      </w:pPr>
      <w:r w:rsidRPr="0085195F">
        <w:t>This factsheet does not necessarily reflect the opinion of the ESPON Monitoring Committee.</w:t>
      </w:r>
    </w:p>
    <w:p w:rsidR="00B471CE" w:rsidRDefault="00B471CE" w:rsidP="00BA161A">
      <w:pPr>
        <w:pStyle w:val="Heading1"/>
      </w:pPr>
      <w:r>
        <w:t xml:space="preserve">Europe 2020 </w:t>
      </w:r>
    </w:p>
    <w:p w:rsidR="00B471CE" w:rsidRDefault="00B471CE" w:rsidP="000A647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B471CE" w:rsidRDefault="00B471CE" w:rsidP="000A647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area, and the way and degree to which it is affected. </w:t>
      </w:r>
    </w:p>
    <w:p w:rsidR="00B471CE" w:rsidRDefault="00B471CE" w:rsidP="000A647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B471CE" w:rsidRDefault="00B471CE" w:rsidP="008A68FF">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9D5CBF" w:rsidRDefault="009D5CBF" w:rsidP="009D5CBF">
      <w:r>
        <w:t>In the following the traffic light for each indicator represents how your programme territory compares to wider European and national medians where green = your programme area performs better for that indicator, yel</w:t>
      </w:r>
      <w:r w:rsidR="002F474E">
        <w:t>low = similar, and red = worse.</w:t>
      </w:r>
    </w:p>
    <w:p w:rsidR="00C03686" w:rsidRDefault="00C03686" w:rsidP="00C03686">
      <w:r>
        <w:t>In creating the traffic</w:t>
      </w:r>
      <w:r w:rsidR="009A77C2">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C757F8" w:rsidRPr="00973E76" w:rsidRDefault="00C757F8" w:rsidP="00C757F8">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B471CE" w:rsidRDefault="00B471CE" w:rsidP="00337872">
      <w:pPr>
        <w:pStyle w:val="Heading3"/>
      </w:pPr>
      <w:r w:rsidRPr="005216B0">
        <w:t>Smart growth</w:t>
      </w:r>
      <w:r w:rsidRPr="00337872">
        <w:t xml:space="preserve"> </w:t>
      </w:r>
    </w:p>
    <w:p w:rsidR="00B471CE" w:rsidRDefault="00155406" w:rsidP="00C33A99">
      <w:r>
        <w:rPr>
          <w:noProof/>
          <w:lang w:val="en-US"/>
        </w:rPr>
        <w:drawing>
          <wp:anchor distT="0" distB="0" distL="114300" distR="114300" simplePos="0" relativeHeight="251675136" behindDoc="1" locked="0" layoutInCell="1" allowOverlap="1">
            <wp:simplePos x="0" y="0"/>
            <wp:positionH relativeFrom="column">
              <wp:posOffset>-26035</wp:posOffset>
            </wp:positionH>
            <wp:positionV relativeFrom="paragraph">
              <wp:posOffset>559435</wp:posOffset>
            </wp:positionV>
            <wp:extent cx="5272405" cy="2689860"/>
            <wp:effectExtent l="19050" t="0" r="4445" b="0"/>
            <wp:wrapTight wrapText="bothSides">
              <wp:wrapPolygon edited="0">
                <wp:start x="-78" y="0"/>
                <wp:lineTo x="-78" y="21416"/>
                <wp:lineTo x="21618" y="21416"/>
                <wp:lineTo x="21618" y="0"/>
                <wp:lineTo x="-78" y="0"/>
              </wp:wrapPolygon>
            </wp:wrapTight>
            <wp:docPr id="3" name="Bild 1" descr="P:\LU_2011_ESPON_TerrEvi_100269\03_Project development\WorkinProgress_FactSheets\Factsheets_CBC_neu\TL_CBC4\France_Switzerlan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4\France_Switzerland 1.png"/>
                    <pic:cNvPicPr>
                      <a:picLocks noChangeAspect="1" noChangeArrowheads="1"/>
                    </pic:cNvPicPr>
                  </pic:nvPicPr>
                  <pic:blipFill>
                    <a:blip r:embed="rId12" cstate="print"/>
                    <a:srcRect/>
                    <a:stretch>
                      <a:fillRect/>
                    </a:stretch>
                  </pic:blipFill>
                  <pic:spPr bwMode="auto">
                    <a:xfrm>
                      <a:off x="0" y="0"/>
                      <a:ext cx="5272405" cy="2689860"/>
                    </a:xfrm>
                    <a:prstGeom prst="rect">
                      <a:avLst/>
                    </a:prstGeom>
                    <a:noFill/>
                    <a:ln w="9525">
                      <a:noFill/>
                      <a:miter lim="800000"/>
                      <a:headEnd/>
                      <a:tailEnd/>
                    </a:ln>
                  </pic:spPr>
                </pic:pic>
              </a:graphicData>
            </a:graphic>
          </wp:anchor>
        </w:drawing>
      </w:r>
      <w:r w:rsidR="00B471CE">
        <w:t xml:space="preserve">Smart growth refers to </w:t>
      </w:r>
      <w:r w:rsidR="00B471CE" w:rsidRPr="000D7CC4">
        <w:t>developing an economy based on knowledge and innovation.</w:t>
      </w:r>
      <w:r w:rsidR="00B471CE">
        <w:t xml:space="preserve"> In the framework of the Europe 2020 Strategy it </w:t>
      </w:r>
      <w:r w:rsidR="00B471CE" w:rsidRPr="002B1929">
        <w:t>means im</w:t>
      </w:r>
      <w:r w:rsidR="00B471CE">
        <w:t xml:space="preserve">proving the EU's performance in </w:t>
      </w:r>
      <w:r w:rsidR="00B471CE" w:rsidRPr="002B1929">
        <w:t>education</w:t>
      </w:r>
      <w:r w:rsidR="00B471CE">
        <w:t xml:space="preserve">, </w:t>
      </w:r>
      <w:r w:rsidR="00B471CE" w:rsidRPr="002B1929">
        <w:t>research/innovation</w:t>
      </w:r>
      <w:r w:rsidR="00B471CE">
        <w:t xml:space="preserve"> and </w:t>
      </w:r>
      <w:r w:rsidR="00B471CE" w:rsidRPr="002B1929">
        <w:t>digital society</w:t>
      </w:r>
      <w:r w:rsidR="00B471CE">
        <w:t>.</w:t>
      </w:r>
    </w:p>
    <w:p w:rsidR="005216B0" w:rsidRPr="0089688B" w:rsidRDefault="005216B0" w:rsidP="00155406">
      <w:r w:rsidRPr="0089688B">
        <w:t>Concerning the ratio of employment in knowledge-intensive service</w:t>
      </w:r>
      <w:r>
        <w:t>s</w:t>
      </w:r>
      <w:r w:rsidRPr="0089688B">
        <w:t xml:space="preserve"> to the total employment in 2010, the CBC area has </w:t>
      </w:r>
      <w:r>
        <w:t>similar</w:t>
      </w:r>
      <w:r w:rsidRPr="0089688B">
        <w:t xml:space="preserve"> values </w:t>
      </w:r>
      <w:r>
        <w:t>to the EU27+4 space and all CBCs, it is doing as well as</w:t>
      </w:r>
      <w:r w:rsidRPr="0089688B">
        <w:t xml:space="preserve"> </w:t>
      </w:r>
      <w:r>
        <w:t>France</w:t>
      </w:r>
      <w:r w:rsidRPr="0089688B">
        <w:t xml:space="preserve"> and </w:t>
      </w:r>
      <w:r>
        <w:t xml:space="preserve">but worse than Switzerland, </w:t>
      </w:r>
      <w:r w:rsidRPr="0089688B">
        <w:t xml:space="preserve">with </w:t>
      </w:r>
      <w:r>
        <w:t xml:space="preserve">however </w:t>
      </w:r>
      <w:r w:rsidRPr="0089688B">
        <w:t xml:space="preserve">a low level of internal disparity. </w:t>
      </w:r>
    </w:p>
    <w:p w:rsidR="005216B0" w:rsidRPr="00B92990" w:rsidRDefault="005216B0" w:rsidP="005216B0">
      <w:r w:rsidRPr="0089688B">
        <w:lastRenderedPageBreak/>
        <w:t>According to the classification of the KIT project, MAP 1 identifies two territorial patterns of innovation</w:t>
      </w:r>
      <w:r>
        <w:t>, which are not exactly keeping up with national borders</w:t>
      </w:r>
      <w:r w:rsidRPr="0089688B">
        <w:t>:</w:t>
      </w:r>
      <w:r w:rsidRPr="00B92990">
        <w:t xml:space="preserve"> </w:t>
      </w:r>
    </w:p>
    <w:p w:rsidR="005216B0" w:rsidRPr="002F51F9" w:rsidRDefault="005216B0" w:rsidP="005216B0">
      <w:pPr>
        <w:pStyle w:val="ListParagraph"/>
        <w:numPr>
          <w:ilvl w:val="0"/>
          <w:numId w:val="14"/>
        </w:numPr>
        <w:spacing w:line="240" w:lineRule="atLeast"/>
        <w:rPr>
          <w:szCs w:val="20"/>
        </w:rPr>
      </w:pPr>
      <w:r w:rsidRPr="00151EF3">
        <w:rPr>
          <w:rFonts w:cstheme="minorHAnsi"/>
          <w:szCs w:val="20"/>
        </w:rPr>
        <w:t xml:space="preserve">‘Smart technological application area’, in the </w:t>
      </w:r>
      <w:r>
        <w:rPr>
          <w:rFonts w:cstheme="minorHAnsi"/>
          <w:szCs w:val="20"/>
        </w:rPr>
        <w:t>whole French side</w:t>
      </w:r>
      <w:r w:rsidRPr="00151EF3">
        <w:rPr>
          <w:rFonts w:cstheme="minorHAnsi"/>
          <w:szCs w:val="20"/>
        </w:rPr>
        <w:t xml:space="preserve"> </w:t>
      </w:r>
      <w:r>
        <w:rPr>
          <w:rFonts w:cstheme="minorHAnsi"/>
          <w:szCs w:val="20"/>
        </w:rPr>
        <w:t>and the Swiss side surrounding the city of Geneva</w:t>
      </w:r>
      <w:r w:rsidRPr="00151EF3">
        <w:rPr>
          <w:rFonts w:cstheme="minorHAnsi"/>
          <w:szCs w:val="20"/>
        </w:rPr>
        <w:t>. It is defined by a high product innovation level, with a limited degree of local applied science and R&amp;D endowment, and a high creativity which allows translating external basic science and applied science knowledge into innovation.</w:t>
      </w:r>
    </w:p>
    <w:p w:rsidR="00B471CE" w:rsidRDefault="005216B0" w:rsidP="00C33A99">
      <w:pPr>
        <w:pStyle w:val="ListParagraph"/>
        <w:numPr>
          <w:ilvl w:val="0"/>
          <w:numId w:val="14"/>
        </w:numPr>
        <w:spacing w:line="240" w:lineRule="atLeast"/>
      </w:pPr>
      <w:r w:rsidRPr="00C03686">
        <w:rPr>
          <w:rFonts w:cstheme="minorHAnsi"/>
          <w:szCs w:val="20"/>
        </w:rPr>
        <w:t xml:space="preserve">‘Applied science area’, in the Swiss north eastern part, surrounding the cities of Bern and Neuchâtel. It is associated to </w:t>
      </w:r>
      <w:r w:rsidRPr="00C03686">
        <w:rPr>
          <w:szCs w:val="20"/>
        </w:rPr>
        <w:t xml:space="preserve">a quite high generality and originality of science-based local knowledge, and a high degree of attractiveness of knowledge coming from other regions. </w:t>
      </w:r>
    </w:p>
    <w:p w:rsidR="00B471CE" w:rsidRDefault="00B471CE">
      <w:pPr>
        <w:spacing w:after="0" w:line="240" w:lineRule="auto"/>
        <w:jc w:val="left"/>
      </w:pPr>
    </w:p>
    <w:p w:rsidR="002F474E" w:rsidRDefault="002F474E">
      <w:pPr>
        <w:spacing w:after="0" w:line="240" w:lineRule="auto"/>
        <w:jc w:val="left"/>
        <w:rPr>
          <w:b/>
        </w:rPr>
      </w:pPr>
      <w:r>
        <w:rPr>
          <w:b/>
        </w:rPr>
        <w:br w:type="page"/>
      </w:r>
    </w:p>
    <w:p w:rsidR="00B471CE" w:rsidRPr="00C33A99" w:rsidRDefault="00B471CE" w:rsidP="00A06AEA">
      <w:pPr>
        <w:rPr>
          <w:b/>
        </w:rPr>
      </w:pPr>
      <w:r w:rsidRPr="004E39BD">
        <w:rPr>
          <w:b/>
        </w:rPr>
        <w:lastRenderedPageBreak/>
        <w:t>MAP</w:t>
      </w:r>
      <w:r>
        <w:rPr>
          <w:b/>
        </w:rPr>
        <w:t xml:space="preserve"> 1</w:t>
      </w:r>
      <w:r w:rsidRPr="004E39BD">
        <w:rPr>
          <w:b/>
        </w:rPr>
        <w:t xml:space="preserve"> – Territorial Patterns of Innovation (ESPON KIT project)</w:t>
      </w:r>
      <w:r>
        <w:rPr>
          <w:b/>
        </w:rPr>
        <w:t xml:space="preserve"> for the CBC France – Switzerland</w:t>
      </w:r>
    </w:p>
    <w:p w:rsidR="00B471CE" w:rsidRDefault="00B471CE" w:rsidP="008A3B96"/>
    <w:p w:rsidR="00B471CE" w:rsidRDefault="0090114F" w:rsidP="008A3B96">
      <w:pPr>
        <w:spacing w:after="0" w:line="240" w:lineRule="auto"/>
      </w:pPr>
      <w:r w:rsidRPr="0090114F">
        <w:rPr>
          <w:noProof/>
          <w:lang w:val="de-DE" w:eastAsia="de-DE"/>
        </w:rPr>
        <w:pict>
          <v:oval id="_x0000_s1044" style="position:absolute;left:0;text-align:left;margin-left:139.45pt;margin-top:253.95pt;width:50.55pt;height:38.75pt;z-index:251666944" filled="f" strokecolor="#0070c0" strokeweight="2pt"/>
        </w:pict>
      </w:r>
      <w:r w:rsidR="00906C7D">
        <w:rPr>
          <w:noProof/>
          <w:lang w:val="en-US"/>
        </w:rPr>
        <w:drawing>
          <wp:inline distT="0" distB="0" distL="0" distR="0">
            <wp:extent cx="5278755" cy="6284584"/>
            <wp:effectExtent l="19050" t="0" r="0" b="0"/>
            <wp:docPr id="7" name="Bild 1"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MAP1.png"/>
                    <pic:cNvPicPr>
                      <a:picLocks noChangeAspect="1" noChangeArrowheads="1"/>
                    </pic:cNvPicPr>
                  </pic:nvPicPr>
                  <pic:blipFill>
                    <a:blip r:embed="rId13"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B471CE" w:rsidRDefault="00B471CE" w:rsidP="008A3B96"/>
    <w:p w:rsidR="00B471CE" w:rsidRDefault="00B471CE">
      <w:pPr>
        <w:spacing w:after="0" w:line="240" w:lineRule="auto"/>
        <w:jc w:val="left"/>
      </w:pPr>
      <w:r>
        <w:br w:type="page"/>
      </w:r>
    </w:p>
    <w:p w:rsidR="00B471CE" w:rsidRDefault="00B471CE" w:rsidP="004F26B8">
      <w:pPr>
        <w:pStyle w:val="Heading3"/>
      </w:pPr>
      <w:r w:rsidRPr="00E41CDE">
        <w:lastRenderedPageBreak/>
        <w:t>Sustainable growth</w:t>
      </w:r>
      <w:r w:rsidRPr="00337872">
        <w:t xml:space="preserve"> </w:t>
      </w:r>
    </w:p>
    <w:p w:rsidR="00B471CE" w:rsidRDefault="00B471CE" w:rsidP="00C00C96">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387177">
        <w:t>. In the framework of the Europe</w:t>
      </w:r>
      <w:r>
        <w:t xml:space="preserve"> 2020 Strategy it means focus on competitiveness, resource efficiency, climate change and biodiversity.</w:t>
      </w:r>
    </w:p>
    <w:p w:rsidR="00B471CE" w:rsidRDefault="00155406" w:rsidP="00C00C96">
      <w:r>
        <w:rPr>
          <w:noProof/>
          <w:lang w:val="en-US"/>
        </w:rPr>
        <w:drawing>
          <wp:anchor distT="0" distB="0" distL="114300" distR="114300" simplePos="0" relativeHeight="251676160" behindDoc="1" locked="0" layoutInCell="1" allowOverlap="1">
            <wp:simplePos x="0" y="0"/>
            <wp:positionH relativeFrom="column">
              <wp:posOffset>15240</wp:posOffset>
            </wp:positionH>
            <wp:positionV relativeFrom="paragraph">
              <wp:posOffset>10160</wp:posOffset>
            </wp:positionV>
            <wp:extent cx="5273675" cy="2945130"/>
            <wp:effectExtent l="19050" t="0" r="3175" b="0"/>
            <wp:wrapTight wrapText="bothSides">
              <wp:wrapPolygon edited="0">
                <wp:start x="-78" y="0"/>
                <wp:lineTo x="-78" y="21516"/>
                <wp:lineTo x="21613" y="21516"/>
                <wp:lineTo x="21613" y="0"/>
                <wp:lineTo x="-78" y="0"/>
              </wp:wrapPolygon>
            </wp:wrapTight>
            <wp:docPr id="4" name="Bild 2" descr="P:\LU_2011_ESPON_TerrEvi_100269\03_Project development\WorkinProgress_FactSheets\Factsheets_CBC_neu\TL_CBC4\France_Switzerla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4\France_Switzerland 2.png"/>
                    <pic:cNvPicPr>
                      <a:picLocks noChangeAspect="1" noChangeArrowheads="1"/>
                    </pic:cNvPicPr>
                  </pic:nvPicPr>
                  <pic:blipFill>
                    <a:blip r:embed="rId14" cstate="print"/>
                    <a:srcRect/>
                    <a:stretch>
                      <a:fillRect/>
                    </a:stretch>
                  </pic:blipFill>
                  <pic:spPr bwMode="auto">
                    <a:xfrm>
                      <a:off x="0" y="0"/>
                      <a:ext cx="5273675" cy="2945130"/>
                    </a:xfrm>
                    <a:prstGeom prst="rect">
                      <a:avLst/>
                    </a:prstGeom>
                    <a:noFill/>
                    <a:ln w="9525">
                      <a:noFill/>
                      <a:miter lim="800000"/>
                      <a:headEnd/>
                      <a:tailEnd/>
                    </a:ln>
                  </pic:spPr>
                </pic:pic>
              </a:graphicData>
            </a:graphic>
          </wp:anchor>
        </w:drawing>
      </w:r>
      <w:r w:rsidR="00B471CE">
        <w:t>The wind energy potential of the France-Switzerland programme area is at a low level compared to the EU-27+4 and to all CBC area</w:t>
      </w:r>
      <w:r w:rsidR="00E41CDE">
        <w:t>s</w:t>
      </w:r>
      <w:r w:rsidR="00B471CE">
        <w:t xml:space="preserve">. </w:t>
      </w:r>
      <w:r w:rsidR="00B471CE" w:rsidRPr="009C7E22">
        <w:rPr>
          <w:noProof/>
          <w:szCs w:val="20"/>
          <w:lang w:val="en-US"/>
        </w:rPr>
        <w:t xml:space="preserve">The CBC area also shows a considerably </w:t>
      </w:r>
      <w:r w:rsidR="00B471CE">
        <w:rPr>
          <w:noProof/>
          <w:szCs w:val="20"/>
          <w:lang w:val="en-US"/>
        </w:rPr>
        <w:t>lower</w:t>
      </w:r>
      <w:r w:rsidR="00B471CE" w:rsidRPr="009C7E22">
        <w:rPr>
          <w:noProof/>
          <w:szCs w:val="20"/>
          <w:lang w:val="en-US"/>
        </w:rPr>
        <w:t xml:space="preserve"> potential than the national level of </w:t>
      </w:r>
      <w:r w:rsidR="00B471CE">
        <w:rPr>
          <w:noProof/>
          <w:szCs w:val="20"/>
          <w:lang w:val="en-US"/>
        </w:rPr>
        <w:t>France</w:t>
      </w:r>
      <w:r w:rsidR="00B471CE" w:rsidRPr="009C7E22">
        <w:rPr>
          <w:noProof/>
          <w:szCs w:val="20"/>
          <w:lang w:val="en-US"/>
        </w:rPr>
        <w:t xml:space="preserve">, whereas there is a </w:t>
      </w:r>
      <w:r w:rsidR="00B471CE">
        <w:rPr>
          <w:noProof/>
          <w:szCs w:val="20"/>
          <w:lang w:val="en-US"/>
        </w:rPr>
        <w:t>significantly higher</w:t>
      </w:r>
      <w:r w:rsidR="00B471CE" w:rsidRPr="009C7E22">
        <w:rPr>
          <w:noProof/>
          <w:szCs w:val="20"/>
          <w:lang w:val="en-US"/>
        </w:rPr>
        <w:t xml:space="preserve"> potential with regard to the use of this sustainable resource compared to the national level of </w:t>
      </w:r>
      <w:r w:rsidR="00B471CE">
        <w:rPr>
          <w:noProof/>
          <w:szCs w:val="20"/>
          <w:lang w:val="en-US"/>
        </w:rPr>
        <w:t>Switzerland.</w:t>
      </w:r>
      <w:r w:rsidR="00E41CDE">
        <w:rPr>
          <w:noProof/>
          <w:szCs w:val="20"/>
          <w:lang w:val="en-US"/>
        </w:rPr>
        <w:t xml:space="preserve"> </w:t>
      </w:r>
      <w:r w:rsidR="00B471CE">
        <w:t>There is no data for ozone concentration, for potential vulnerability</w:t>
      </w:r>
      <w:r w:rsidR="00E41CDE">
        <w:t>,</w:t>
      </w:r>
      <w:r w:rsidR="00B471CE">
        <w:t xml:space="preserve"> nor </w:t>
      </w:r>
      <w:r w:rsidR="00E41CDE">
        <w:t>for</w:t>
      </w:r>
      <w:r w:rsidR="00B471CE">
        <w:t xml:space="preserve"> the territorial impact of Directive 11 on fossil fuel consumption (MAP 2) for Switzerland.</w:t>
      </w:r>
    </w:p>
    <w:p w:rsidR="00B471CE" w:rsidRDefault="00B471CE" w:rsidP="00C00C96">
      <w:r w:rsidRPr="00E13BE2">
        <w:rPr>
          <w:noProof/>
          <w:szCs w:val="20"/>
          <w:lang w:val="en-US"/>
        </w:rPr>
        <w:t xml:space="preserve">On the French side the NUTS3 regions of </w:t>
      </w:r>
      <w:r>
        <w:rPr>
          <w:noProof/>
          <w:szCs w:val="20"/>
          <w:lang w:val="en-US"/>
        </w:rPr>
        <w:t>the France-Switzerland area</w:t>
      </w:r>
      <w:r w:rsidRPr="00E13BE2">
        <w:rPr>
          <w:noProof/>
          <w:szCs w:val="20"/>
          <w:lang w:val="en-US"/>
        </w:rPr>
        <w:t xml:space="preserve"> show a high </w:t>
      </w:r>
      <w:r w:rsidR="00E41CDE">
        <w:rPr>
          <w:noProof/>
          <w:szCs w:val="20"/>
          <w:lang w:val="en-US"/>
        </w:rPr>
        <w:t xml:space="preserve">level of </w:t>
      </w:r>
      <w:r w:rsidRPr="00E13BE2">
        <w:rPr>
          <w:noProof/>
          <w:szCs w:val="20"/>
          <w:lang w:val="en-US"/>
        </w:rPr>
        <w:t>adaptive capacity to climate change (BOX-PLOT 1) compared to</w:t>
      </w:r>
      <w:r>
        <w:rPr>
          <w:noProof/>
          <w:szCs w:val="20"/>
          <w:lang w:val="en-US"/>
        </w:rPr>
        <w:t xml:space="preserve"> European and to</w:t>
      </w:r>
      <w:r w:rsidRPr="00E13BE2">
        <w:rPr>
          <w:noProof/>
          <w:szCs w:val="20"/>
          <w:lang w:val="en-US"/>
        </w:rPr>
        <w:t xml:space="preserve"> national values</w:t>
      </w:r>
      <w:r>
        <w:rPr>
          <w:noProof/>
          <w:szCs w:val="20"/>
          <w:lang w:val="en-US"/>
        </w:rPr>
        <w:t xml:space="preserve"> as well (again no data of NUTS3 regions of Switzerland).</w:t>
      </w:r>
    </w:p>
    <w:p w:rsidR="00B471CE" w:rsidRDefault="00B471CE">
      <w:pPr>
        <w:spacing w:after="0" w:line="240" w:lineRule="auto"/>
        <w:jc w:val="left"/>
      </w:pPr>
      <w:r>
        <w:br w:type="page"/>
      </w:r>
    </w:p>
    <w:p w:rsidR="00B471CE" w:rsidRPr="00C33A99" w:rsidRDefault="00B471CE" w:rsidP="00A06AEA">
      <w:pPr>
        <w:rPr>
          <w:b/>
        </w:rPr>
      </w:pPr>
      <w:r w:rsidRPr="00C33A99">
        <w:rPr>
          <w:b/>
        </w:rPr>
        <w:lastRenderedPageBreak/>
        <w:t>MAP</w:t>
      </w:r>
      <w:r>
        <w:rPr>
          <w:b/>
        </w:rPr>
        <w:t xml:space="preserve"> 2</w:t>
      </w:r>
      <w:r w:rsidRPr="00C33A99">
        <w:rPr>
          <w:b/>
        </w:rPr>
        <w:t xml:space="preserve"> - Territorial impact on fossil fuel consumption of Directive on the promotion of clean and energy-efficient road transport vehicles (ESPON ARTS project)</w:t>
      </w:r>
      <w:r>
        <w:rPr>
          <w:b/>
        </w:rPr>
        <w:t xml:space="preserve"> for the CBC France – Switzerland</w:t>
      </w:r>
    </w:p>
    <w:p w:rsidR="00B471CE" w:rsidRDefault="00B471CE" w:rsidP="00D26713">
      <w:pPr>
        <w:spacing w:after="0" w:line="240" w:lineRule="auto"/>
        <w:rPr>
          <w:noProof/>
          <w:lang w:eastAsia="en-GB"/>
        </w:rPr>
      </w:pPr>
    </w:p>
    <w:p w:rsidR="00B471CE" w:rsidRDefault="0090114F" w:rsidP="00D26713">
      <w:pPr>
        <w:spacing w:after="0" w:line="240" w:lineRule="auto"/>
        <w:rPr>
          <w:noProof/>
          <w:lang w:eastAsia="en-GB"/>
        </w:rPr>
      </w:pPr>
      <w:r w:rsidRPr="0090114F">
        <w:rPr>
          <w:noProof/>
          <w:lang w:val="de-DE" w:eastAsia="de-DE"/>
        </w:rPr>
        <w:pict>
          <v:oval id="_x0000_s1045" style="position:absolute;left:0;text-align:left;margin-left:161.95pt;margin-top:222pt;width:50.55pt;height:38.75pt;z-index:251667968" filled="f" strokecolor="#0070c0" strokeweight="2pt"/>
        </w:pict>
      </w:r>
      <w:r w:rsidR="00906C7D">
        <w:rPr>
          <w:noProof/>
          <w:lang w:val="en-US"/>
        </w:rPr>
        <w:drawing>
          <wp:inline distT="0" distB="0" distL="0" distR="0">
            <wp:extent cx="5278755" cy="5813503"/>
            <wp:effectExtent l="19050" t="0" r="0" b="0"/>
            <wp:docPr id="9" name="Bild 2"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MAP2.jpg"/>
                    <pic:cNvPicPr>
                      <a:picLocks noChangeAspect="1" noChangeArrowheads="1"/>
                    </pic:cNvPicPr>
                  </pic:nvPicPr>
                  <pic:blipFill>
                    <a:blip r:embed="rId15" cstate="print"/>
                    <a:srcRect/>
                    <a:stretch>
                      <a:fillRect/>
                    </a:stretch>
                  </pic:blipFill>
                  <pic:spPr bwMode="auto">
                    <a:xfrm>
                      <a:off x="0" y="0"/>
                      <a:ext cx="5278755" cy="5813503"/>
                    </a:xfrm>
                    <a:prstGeom prst="rect">
                      <a:avLst/>
                    </a:prstGeom>
                    <a:noFill/>
                    <a:ln w="9525">
                      <a:noFill/>
                      <a:miter lim="800000"/>
                      <a:headEnd/>
                      <a:tailEnd/>
                    </a:ln>
                  </pic:spPr>
                </pic:pic>
              </a:graphicData>
            </a:graphic>
          </wp:inline>
        </w:drawing>
      </w:r>
    </w:p>
    <w:p w:rsidR="00B471CE" w:rsidRDefault="00B471CE" w:rsidP="00D26713"/>
    <w:p w:rsidR="00B471CE" w:rsidRDefault="00B471CE">
      <w:pPr>
        <w:spacing w:after="0" w:line="240" w:lineRule="auto"/>
        <w:jc w:val="left"/>
      </w:pPr>
      <w:r>
        <w:br w:type="page"/>
      </w:r>
    </w:p>
    <w:p w:rsidR="00B471CE" w:rsidRDefault="00B471CE" w:rsidP="005A5FC4">
      <w:pPr>
        <w:rPr>
          <w:b/>
        </w:rPr>
      </w:pPr>
      <w:r w:rsidRPr="009C729F">
        <w:rPr>
          <w:b/>
        </w:rPr>
        <w:lastRenderedPageBreak/>
        <w:t xml:space="preserve">BOX-PLOT 1 – Combined adaptive capacity to climate change (ESPON CLIMATE project) for the CBC </w:t>
      </w:r>
      <w:r>
        <w:rPr>
          <w:b/>
        </w:rPr>
        <w:t>France – Switzerland</w:t>
      </w:r>
    </w:p>
    <w:p w:rsidR="00C757F8" w:rsidRPr="00021CAB" w:rsidRDefault="00C757F8" w:rsidP="00C757F8">
      <w:pPr>
        <w:spacing w:after="240"/>
        <w:rPr>
          <w:i/>
        </w:rPr>
      </w:pPr>
      <w:r>
        <w:rPr>
          <w:i/>
          <w:noProof/>
          <w:lang w:val="en-US"/>
        </w:rPr>
        <w:drawing>
          <wp:anchor distT="0" distB="0" distL="114300" distR="114300" simplePos="0" relativeHeight="251664896" behindDoc="1" locked="0" layoutInCell="1" allowOverlap="1">
            <wp:simplePos x="0" y="0"/>
            <wp:positionH relativeFrom="column">
              <wp:posOffset>-5715</wp:posOffset>
            </wp:positionH>
            <wp:positionV relativeFrom="paragraph">
              <wp:posOffset>593725</wp:posOffset>
            </wp:positionV>
            <wp:extent cx="5264785" cy="4220845"/>
            <wp:effectExtent l="19050" t="0" r="0" b="0"/>
            <wp:wrapTight wrapText="bothSides">
              <wp:wrapPolygon edited="0">
                <wp:start x="-78" y="0"/>
                <wp:lineTo x="-78" y="21545"/>
                <wp:lineTo x="21571" y="21545"/>
                <wp:lineTo x="21571" y="0"/>
                <wp:lineTo x="-78" y="0"/>
              </wp:wrapPolygon>
            </wp:wrapTight>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cstate="print"/>
                    <a:srcRect/>
                    <a:stretch>
                      <a:fillRect/>
                    </a:stretch>
                  </pic:blipFill>
                  <pic:spPr bwMode="auto">
                    <a:xfrm>
                      <a:off x="0" y="0"/>
                      <a:ext cx="5264785" cy="4220845"/>
                    </a:xfrm>
                    <a:prstGeom prst="rect">
                      <a:avLst/>
                    </a:prstGeom>
                    <a:noFill/>
                  </pic:spPr>
                </pic:pic>
              </a:graphicData>
            </a:graphic>
          </wp:anchor>
        </w:drawing>
      </w: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C757F8" w:rsidRPr="00C33A99" w:rsidRDefault="00C757F8" w:rsidP="005A5FC4">
      <w:pPr>
        <w:rPr>
          <w:b/>
        </w:rPr>
      </w:pPr>
    </w:p>
    <w:p w:rsidR="00B471CE" w:rsidRPr="006F0BC4" w:rsidRDefault="00B471CE"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B471CE" w:rsidRPr="006F0BC4" w:rsidRDefault="00B471CE"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B471CE" w:rsidRPr="006F0BC4" w:rsidRDefault="00B471CE"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B471CE" w:rsidRPr="006F0BC4" w:rsidRDefault="00B471CE"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B471CE" w:rsidRDefault="00B471CE">
      <w:pPr>
        <w:spacing w:after="0" w:line="240" w:lineRule="auto"/>
        <w:jc w:val="left"/>
        <w:rPr>
          <w:noProof/>
          <w:lang w:eastAsia="en-GB"/>
        </w:rPr>
      </w:pPr>
      <w:r>
        <w:rPr>
          <w:noProof/>
          <w:lang w:eastAsia="en-GB"/>
        </w:rPr>
        <w:br w:type="page"/>
      </w:r>
    </w:p>
    <w:p w:rsidR="00B471CE" w:rsidRDefault="00B471CE" w:rsidP="00B135A2">
      <w:pPr>
        <w:pStyle w:val="Heading3"/>
      </w:pPr>
      <w:r w:rsidRPr="006C0AA9">
        <w:lastRenderedPageBreak/>
        <w:t>Inclusive growth</w:t>
      </w:r>
      <w:r>
        <w:t xml:space="preserve"> </w:t>
      </w:r>
    </w:p>
    <w:p w:rsidR="00B471CE" w:rsidRDefault="00B471CE" w:rsidP="00B135A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B471CE" w:rsidRDefault="00155406" w:rsidP="00AB5243">
      <w:r>
        <w:rPr>
          <w:noProof/>
          <w:lang w:val="en-US"/>
        </w:rPr>
        <w:drawing>
          <wp:anchor distT="0" distB="0" distL="114300" distR="114300" simplePos="0" relativeHeight="251677184" behindDoc="1" locked="0" layoutInCell="1" allowOverlap="1">
            <wp:simplePos x="0" y="0"/>
            <wp:positionH relativeFrom="column">
              <wp:posOffset>-16510</wp:posOffset>
            </wp:positionH>
            <wp:positionV relativeFrom="paragraph">
              <wp:posOffset>3175</wp:posOffset>
            </wp:positionV>
            <wp:extent cx="5273675" cy="2530475"/>
            <wp:effectExtent l="19050" t="0" r="3175" b="0"/>
            <wp:wrapTight wrapText="bothSides">
              <wp:wrapPolygon edited="0">
                <wp:start x="-78" y="0"/>
                <wp:lineTo x="-78" y="21464"/>
                <wp:lineTo x="21613" y="21464"/>
                <wp:lineTo x="21613" y="0"/>
                <wp:lineTo x="-78" y="0"/>
              </wp:wrapPolygon>
            </wp:wrapTight>
            <wp:docPr id="6" name="Bild 3" descr="P:\LU_2011_ESPON_TerrEvi_100269\03_Project development\WorkinProgress_FactSheets\Factsheets_CBC_neu\TL_CBC4\France_Switzerlan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4\France_Switzerland 3.png"/>
                    <pic:cNvPicPr>
                      <a:picLocks noChangeAspect="1" noChangeArrowheads="1"/>
                    </pic:cNvPicPr>
                  </pic:nvPicPr>
                  <pic:blipFill>
                    <a:blip r:embed="rId17" cstate="print"/>
                    <a:srcRect/>
                    <a:stretch>
                      <a:fillRect/>
                    </a:stretch>
                  </pic:blipFill>
                  <pic:spPr bwMode="auto">
                    <a:xfrm>
                      <a:off x="0" y="0"/>
                      <a:ext cx="5273675" cy="2530475"/>
                    </a:xfrm>
                    <a:prstGeom prst="rect">
                      <a:avLst/>
                    </a:prstGeom>
                    <a:noFill/>
                    <a:ln w="9525">
                      <a:noFill/>
                      <a:miter lim="800000"/>
                      <a:headEnd/>
                      <a:tailEnd/>
                    </a:ln>
                  </pic:spPr>
                </pic:pic>
              </a:graphicData>
            </a:graphic>
          </wp:anchor>
        </w:drawing>
      </w:r>
      <w:r w:rsidR="00B471CE" w:rsidRPr="00FA0724">
        <w:rPr>
          <w:szCs w:val="20"/>
        </w:rPr>
        <w:t>As far as the employment indicators</w:t>
      </w:r>
      <w:r w:rsidR="00B471CE">
        <w:rPr>
          <w:szCs w:val="20"/>
        </w:rPr>
        <w:t xml:space="preserve"> </w:t>
      </w:r>
      <w:r w:rsidR="00B471CE" w:rsidRPr="00FA0724">
        <w:rPr>
          <w:szCs w:val="20"/>
        </w:rPr>
        <w:t>(long-term unemployment</w:t>
      </w:r>
      <w:r w:rsidR="00B471CE">
        <w:rPr>
          <w:szCs w:val="20"/>
        </w:rPr>
        <w:t>,</w:t>
      </w:r>
      <w:r w:rsidR="00B471CE" w:rsidRPr="00FA0724">
        <w:rPr>
          <w:szCs w:val="20"/>
        </w:rPr>
        <w:t xml:space="preserve"> people at risk of poverty</w:t>
      </w:r>
      <w:r w:rsidR="00B471CE">
        <w:rPr>
          <w:szCs w:val="20"/>
        </w:rPr>
        <w:t xml:space="preserve"> and persons aged 25-64 and 20-24</w:t>
      </w:r>
      <w:r w:rsidR="00B471CE" w:rsidRPr="00FA0724">
        <w:rPr>
          <w:szCs w:val="20"/>
        </w:rPr>
        <w:t xml:space="preserve"> with upper secondary or tertiary education)</w:t>
      </w:r>
      <w:r w:rsidR="00B471CE">
        <w:rPr>
          <w:szCs w:val="20"/>
        </w:rPr>
        <w:t xml:space="preserve"> and employment </w:t>
      </w:r>
      <w:r w:rsidR="006C0AA9">
        <w:rPr>
          <w:szCs w:val="20"/>
        </w:rPr>
        <w:t>rates (presented</w:t>
      </w:r>
      <w:r w:rsidR="00B471CE">
        <w:rPr>
          <w:szCs w:val="20"/>
        </w:rPr>
        <w:t xml:space="preserve"> in BOX-PLOT 2</w:t>
      </w:r>
      <w:r w:rsidR="006C0AA9">
        <w:rPr>
          <w:szCs w:val="20"/>
        </w:rPr>
        <w:t>)</w:t>
      </w:r>
      <w:r w:rsidR="00B471CE" w:rsidRPr="00FA0724">
        <w:rPr>
          <w:szCs w:val="20"/>
        </w:rPr>
        <w:t xml:space="preserve"> are concerned, it can generally be stated that the situation </w:t>
      </w:r>
      <w:r w:rsidR="00B471CE">
        <w:rPr>
          <w:szCs w:val="20"/>
        </w:rPr>
        <w:t>in the France-Switzerland programme area</w:t>
      </w:r>
      <w:r w:rsidR="00B471CE" w:rsidRPr="00FA0724">
        <w:rPr>
          <w:szCs w:val="20"/>
        </w:rPr>
        <w:t xml:space="preserve"> is </w:t>
      </w:r>
      <w:r w:rsidR="00B471CE">
        <w:rPr>
          <w:szCs w:val="20"/>
        </w:rPr>
        <w:t xml:space="preserve">similar </w:t>
      </w:r>
      <w:r w:rsidR="00B471CE" w:rsidRPr="00FA0724">
        <w:rPr>
          <w:szCs w:val="20"/>
        </w:rPr>
        <w:t>t</w:t>
      </w:r>
      <w:r w:rsidR="006C0AA9">
        <w:rPr>
          <w:szCs w:val="20"/>
        </w:rPr>
        <w:t>o the situation in the EU-</w:t>
      </w:r>
      <w:r w:rsidR="00B471CE">
        <w:rPr>
          <w:szCs w:val="20"/>
        </w:rPr>
        <w:t xml:space="preserve">27+4 and in </w:t>
      </w:r>
      <w:r w:rsidR="00B471CE" w:rsidRPr="00FA0724">
        <w:rPr>
          <w:szCs w:val="20"/>
        </w:rPr>
        <w:t>all CBC region</w:t>
      </w:r>
      <w:r w:rsidR="00B471CE">
        <w:rPr>
          <w:szCs w:val="20"/>
        </w:rPr>
        <w:t xml:space="preserve">s. Compared to national levels the long-term unemployment rate and the percentage of persons aged 25-64 and 20-24 </w:t>
      </w:r>
      <w:r w:rsidR="00B471CE" w:rsidRPr="00FA0724">
        <w:rPr>
          <w:szCs w:val="20"/>
        </w:rPr>
        <w:t>with upper secondary or tertiary education</w:t>
      </w:r>
      <w:r w:rsidR="00B471CE">
        <w:rPr>
          <w:szCs w:val="20"/>
        </w:rPr>
        <w:t xml:space="preserve"> is lower </w:t>
      </w:r>
      <w:r w:rsidR="006C0AA9">
        <w:rPr>
          <w:szCs w:val="20"/>
        </w:rPr>
        <w:t xml:space="preserve">in the CBC area </w:t>
      </w:r>
      <w:r w:rsidR="00B471CE">
        <w:rPr>
          <w:szCs w:val="20"/>
        </w:rPr>
        <w:t xml:space="preserve">than </w:t>
      </w:r>
      <w:r w:rsidR="006C0AA9">
        <w:rPr>
          <w:szCs w:val="20"/>
        </w:rPr>
        <w:t>in</w:t>
      </w:r>
      <w:r w:rsidR="00B471CE">
        <w:rPr>
          <w:szCs w:val="20"/>
        </w:rPr>
        <w:t xml:space="preserve"> France but higher than the rates in Switzerland.</w:t>
      </w:r>
    </w:p>
    <w:p w:rsidR="006C0AA9" w:rsidRDefault="00B471CE" w:rsidP="006C0AA9">
      <w:pPr>
        <w:spacing w:after="0" w:line="240" w:lineRule="auto"/>
        <w:rPr>
          <w:szCs w:val="20"/>
        </w:rPr>
      </w:pPr>
      <w:r w:rsidRPr="002C7F41">
        <w:rPr>
          <w:szCs w:val="20"/>
        </w:rPr>
        <w:t xml:space="preserve">To further explore the role of policies the ESPON project DEMIFER has developed four scenarios to show how various policy bundles can lead to different trajectories of developments in population and labour force. On the </w:t>
      </w:r>
      <w:r>
        <w:rPr>
          <w:szCs w:val="20"/>
        </w:rPr>
        <w:t>French</w:t>
      </w:r>
      <w:r w:rsidRPr="002C7F41">
        <w:rPr>
          <w:szCs w:val="20"/>
        </w:rPr>
        <w:t xml:space="preserve"> side of the border, all scenarios predict positive level of changes for the NUTS3 border-region</w:t>
      </w:r>
      <w:r>
        <w:rPr>
          <w:szCs w:val="20"/>
        </w:rPr>
        <w:t>s</w:t>
      </w:r>
      <w:r w:rsidRPr="002C7F41">
        <w:rPr>
          <w:szCs w:val="20"/>
        </w:rPr>
        <w:t xml:space="preserve"> of </w:t>
      </w:r>
      <w:r>
        <w:rPr>
          <w:szCs w:val="20"/>
        </w:rPr>
        <w:t>Ain and Haute-Savoie</w:t>
      </w:r>
      <w:r w:rsidRPr="002C7F41">
        <w:rPr>
          <w:szCs w:val="20"/>
        </w:rPr>
        <w:t xml:space="preserve">. The changes foreseen for </w:t>
      </w:r>
      <w:r>
        <w:rPr>
          <w:szCs w:val="20"/>
        </w:rPr>
        <w:t>the other French regions (Jura, Doubs and Territoire de Belfort)</w:t>
      </w:r>
      <w:r w:rsidRPr="002C7F41">
        <w:rPr>
          <w:szCs w:val="20"/>
        </w:rPr>
        <w:t xml:space="preserve"> are mixed: the ‘Growing Social Europe’ and ‘Ex</w:t>
      </w:r>
      <w:r>
        <w:rPr>
          <w:szCs w:val="20"/>
        </w:rPr>
        <w:t>pa</w:t>
      </w:r>
      <w:r w:rsidRPr="002C7F41">
        <w:rPr>
          <w:szCs w:val="20"/>
        </w:rPr>
        <w:t>nding Market Europe’ scenarios predict m</w:t>
      </w:r>
      <w:r>
        <w:rPr>
          <w:szCs w:val="20"/>
        </w:rPr>
        <w:t>inor</w:t>
      </w:r>
      <w:r w:rsidRPr="002C7F41">
        <w:rPr>
          <w:szCs w:val="20"/>
        </w:rPr>
        <w:t xml:space="preserve"> positive changes, while the ‘Limited Social Europe’ and ‘Challenged Market Europe’ scenarios predict labour force reductions by 2050. </w:t>
      </w:r>
      <w:r>
        <w:rPr>
          <w:szCs w:val="20"/>
        </w:rPr>
        <w:t>In</w:t>
      </w:r>
      <w:r w:rsidRPr="002C7F41">
        <w:rPr>
          <w:szCs w:val="20"/>
        </w:rPr>
        <w:t xml:space="preserve"> the border</w:t>
      </w:r>
      <w:r>
        <w:rPr>
          <w:szCs w:val="20"/>
        </w:rPr>
        <w:t xml:space="preserve"> regions of Switzerland</w:t>
      </w:r>
      <w:r w:rsidRPr="002C7F41">
        <w:rPr>
          <w:szCs w:val="20"/>
        </w:rPr>
        <w:t xml:space="preserve"> only the ‘Limited Social Europe’ scenario foresees </w:t>
      </w:r>
      <w:r>
        <w:rPr>
          <w:szCs w:val="20"/>
        </w:rPr>
        <w:t>significant</w:t>
      </w:r>
      <w:r w:rsidRPr="002C7F41">
        <w:rPr>
          <w:szCs w:val="20"/>
        </w:rPr>
        <w:t xml:space="preserve"> negative change</w:t>
      </w:r>
      <w:r>
        <w:rPr>
          <w:szCs w:val="20"/>
        </w:rPr>
        <w:t>s for all</w:t>
      </w:r>
      <w:r w:rsidRPr="002C7F41">
        <w:rPr>
          <w:szCs w:val="20"/>
        </w:rPr>
        <w:t xml:space="preserve"> NUTS3 border regions. The </w:t>
      </w:r>
      <w:r>
        <w:rPr>
          <w:szCs w:val="20"/>
        </w:rPr>
        <w:t>‘Expanding Market Europe’</w:t>
      </w:r>
      <w:r w:rsidRPr="002C7F41">
        <w:rPr>
          <w:szCs w:val="20"/>
        </w:rPr>
        <w:t xml:space="preserve"> scenario envisage </w:t>
      </w:r>
      <w:r>
        <w:rPr>
          <w:szCs w:val="20"/>
        </w:rPr>
        <w:t xml:space="preserve">significant </w:t>
      </w:r>
      <w:r w:rsidR="006C0AA9">
        <w:rPr>
          <w:szCs w:val="20"/>
        </w:rPr>
        <w:t>increase</w:t>
      </w:r>
      <w:r>
        <w:rPr>
          <w:szCs w:val="20"/>
        </w:rPr>
        <w:t xml:space="preserve"> </w:t>
      </w:r>
      <w:r w:rsidR="006C0AA9">
        <w:rPr>
          <w:szCs w:val="20"/>
        </w:rPr>
        <w:t>in all border-regions,</w:t>
      </w:r>
      <w:r>
        <w:rPr>
          <w:szCs w:val="20"/>
        </w:rPr>
        <w:t xml:space="preserve"> while </w:t>
      </w:r>
      <w:r w:rsidR="006C0AA9">
        <w:rPr>
          <w:szCs w:val="20"/>
        </w:rPr>
        <w:t>according to</w:t>
      </w:r>
      <w:r>
        <w:rPr>
          <w:szCs w:val="20"/>
        </w:rPr>
        <w:t xml:space="preserve"> the other </w:t>
      </w:r>
      <w:r w:rsidR="006C0AA9">
        <w:rPr>
          <w:szCs w:val="20"/>
        </w:rPr>
        <w:t xml:space="preserve">two </w:t>
      </w:r>
      <w:r>
        <w:rPr>
          <w:szCs w:val="20"/>
        </w:rPr>
        <w:t xml:space="preserve">scenarios minor </w:t>
      </w:r>
      <w:r w:rsidR="006C0AA9">
        <w:rPr>
          <w:szCs w:val="20"/>
        </w:rPr>
        <w:t>decrease in the labour force</w:t>
      </w:r>
      <w:r>
        <w:rPr>
          <w:szCs w:val="20"/>
        </w:rPr>
        <w:t xml:space="preserve"> </w:t>
      </w:r>
      <w:r w:rsidR="006C0AA9">
        <w:rPr>
          <w:szCs w:val="20"/>
        </w:rPr>
        <w:t>is expected</w:t>
      </w:r>
      <w:r>
        <w:rPr>
          <w:szCs w:val="20"/>
        </w:rPr>
        <w:t xml:space="preserve"> in </w:t>
      </w:r>
      <w:r w:rsidR="006C0AA9">
        <w:rPr>
          <w:szCs w:val="20"/>
        </w:rPr>
        <w:t xml:space="preserve">the </w:t>
      </w:r>
      <w:r>
        <w:rPr>
          <w:szCs w:val="20"/>
        </w:rPr>
        <w:t>NUTS3 regions of Jura, Neuchâtel et Berne</w:t>
      </w:r>
      <w:r w:rsidR="006C0AA9">
        <w:rPr>
          <w:szCs w:val="20"/>
        </w:rPr>
        <w:t>.</w:t>
      </w:r>
    </w:p>
    <w:p w:rsidR="00B471CE" w:rsidRDefault="00B471CE" w:rsidP="006C0AA9">
      <w:pPr>
        <w:spacing w:after="0" w:line="240" w:lineRule="auto"/>
        <w:rPr>
          <w:noProof/>
          <w:lang w:eastAsia="en-GB"/>
        </w:rPr>
      </w:pPr>
      <w:r>
        <w:rPr>
          <w:noProof/>
          <w:lang w:eastAsia="en-GB"/>
        </w:rPr>
        <w:br w:type="page"/>
      </w:r>
    </w:p>
    <w:p w:rsidR="00B471CE" w:rsidRPr="00C33A99" w:rsidRDefault="00B471CE" w:rsidP="005A5FC4">
      <w:pPr>
        <w:rPr>
          <w:b/>
        </w:rPr>
      </w:pPr>
      <w:r>
        <w:rPr>
          <w:b/>
        </w:rPr>
        <w:lastRenderedPageBreak/>
        <w:t xml:space="preserve">MAP 3 – </w:t>
      </w:r>
      <w:r w:rsidRPr="00C33A99">
        <w:rPr>
          <w:b/>
        </w:rPr>
        <w:t>Change in Labour Force 2005-2050 (ESPON DEMIFER project)</w:t>
      </w:r>
      <w:r>
        <w:rPr>
          <w:b/>
        </w:rPr>
        <w:t xml:space="preserve"> for the CBC France – Switzerland</w:t>
      </w:r>
    </w:p>
    <w:p w:rsidR="00B471CE" w:rsidRDefault="00B471CE" w:rsidP="0089569C">
      <w:pPr>
        <w:spacing w:after="0" w:line="240" w:lineRule="auto"/>
        <w:rPr>
          <w:noProof/>
          <w:lang w:eastAsia="en-GB"/>
        </w:rPr>
      </w:pPr>
    </w:p>
    <w:p w:rsidR="00B471CE" w:rsidRDefault="0090114F" w:rsidP="0089569C">
      <w:pPr>
        <w:spacing w:after="0" w:line="240" w:lineRule="auto"/>
        <w:rPr>
          <w:noProof/>
          <w:lang w:eastAsia="en-GB"/>
        </w:rPr>
      </w:pPr>
      <w:r w:rsidRPr="0090114F">
        <w:rPr>
          <w:noProof/>
          <w:lang w:val="de-DE" w:eastAsia="de-DE"/>
        </w:rPr>
        <w:pict>
          <v:oval id="_x0000_s1049" style="position:absolute;left:0;text-align:left;margin-left:280.1pt;margin-top:338.6pt;width:25.05pt;height:19.2pt;z-index:251672064" filled="f" strokecolor="#0070c0" strokeweight="2pt"/>
        </w:pict>
      </w:r>
      <w:r w:rsidRPr="0090114F">
        <w:rPr>
          <w:noProof/>
          <w:lang w:val="de-DE" w:eastAsia="de-DE"/>
        </w:rPr>
        <w:pict>
          <v:oval id="_x0000_s1048" style="position:absolute;left:0;text-align:left;margin-left:78.05pt;margin-top:337.75pt;width:25.05pt;height:19.2pt;z-index:251671040" filled="f" strokecolor="#0070c0" strokeweight="2pt"/>
        </w:pict>
      </w:r>
      <w:r w:rsidRPr="0090114F">
        <w:rPr>
          <w:noProof/>
          <w:lang w:val="de-DE" w:eastAsia="de-DE"/>
        </w:rPr>
        <w:pict>
          <v:oval id="_x0000_s1047" style="position:absolute;left:0;text-align:left;margin-left:277.55pt;margin-top:131.7pt;width:25.05pt;height:19.2pt;z-index:251670016" filled="f" strokecolor="#0070c0" strokeweight="2pt"/>
        </w:pict>
      </w:r>
      <w:r w:rsidRPr="0090114F">
        <w:rPr>
          <w:noProof/>
          <w:lang w:val="de-DE" w:eastAsia="de-DE"/>
        </w:rPr>
        <w:pict>
          <v:oval id="_x0000_s1046" style="position:absolute;left:0;text-align:left;margin-left:78.05pt;margin-top:131.7pt;width:25.05pt;height:19.2pt;z-index:251668992" filled="f" strokecolor="#0070c0" strokeweight="2pt"/>
        </w:pict>
      </w:r>
      <w:r w:rsidR="00B45E45">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8" cstate="print"/>
                    <a:stretch>
                      <a:fillRect/>
                    </a:stretch>
                  </pic:blipFill>
                  <pic:spPr>
                    <a:xfrm>
                      <a:off x="0" y="0"/>
                      <a:ext cx="5278755" cy="6911340"/>
                    </a:xfrm>
                    <a:prstGeom prst="rect">
                      <a:avLst/>
                    </a:prstGeom>
                  </pic:spPr>
                </pic:pic>
              </a:graphicData>
            </a:graphic>
          </wp:inline>
        </w:drawing>
      </w:r>
    </w:p>
    <w:p w:rsidR="00B471CE" w:rsidRDefault="00B471CE" w:rsidP="0089569C">
      <w:pPr>
        <w:spacing w:after="0" w:line="240" w:lineRule="auto"/>
        <w:rPr>
          <w:noProof/>
          <w:lang w:eastAsia="en-GB"/>
        </w:rPr>
      </w:pPr>
    </w:p>
    <w:p w:rsidR="00B471CE" w:rsidRDefault="00B471CE">
      <w:pPr>
        <w:spacing w:after="0" w:line="240" w:lineRule="auto"/>
        <w:jc w:val="left"/>
        <w:rPr>
          <w:noProof/>
          <w:lang w:eastAsia="en-GB"/>
        </w:rPr>
      </w:pPr>
      <w:r>
        <w:rPr>
          <w:noProof/>
          <w:lang w:eastAsia="en-GB"/>
        </w:rPr>
        <w:br w:type="page"/>
      </w:r>
    </w:p>
    <w:p w:rsidR="00B471CE" w:rsidRDefault="00B471CE" w:rsidP="00D94F5F">
      <w:pPr>
        <w:rPr>
          <w:noProof/>
          <w:lang w:eastAsia="en-GB"/>
        </w:rPr>
      </w:pPr>
      <w:r w:rsidRPr="009C729F">
        <w:rPr>
          <w:b/>
        </w:rPr>
        <w:lastRenderedPageBreak/>
        <w:t xml:space="preserve">BOX-PLOT 2 – Employment rate 2010 within the CBC </w:t>
      </w:r>
      <w:r>
        <w:rPr>
          <w:b/>
        </w:rPr>
        <w:t>France – Switzerland</w:t>
      </w:r>
    </w:p>
    <w:p w:rsidR="00B471CE" w:rsidRDefault="00403B49" w:rsidP="00FD4E3A">
      <w:pPr>
        <w:spacing w:after="0" w:line="240" w:lineRule="auto"/>
        <w:jc w:val="left"/>
        <w:rPr>
          <w:noProof/>
          <w:lang w:eastAsia="en-GB"/>
        </w:rPr>
      </w:pPr>
      <w:r>
        <w:rPr>
          <w:noProof/>
          <w:lang w:val="en-US"/>
        </w:rPr>
        <w:drawing>
          <wp:inline distT="0" distB="0" distL="0" distR="0">
            <wp:extent cx="5283200" cy="4216400"/>
            <wp:effectExtent l="2540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9" cstate="print"/>
                    <a:srcRect/>
                    <a:stretch>
                      <a:fillRect/>
                    </a:stretch>
                  </pic:blipFill>
                  <pic:spPr bwMode="auto">
                    <a:xfrm>
                      <a:off x="0" y="0"/>
                      <a:ext cx="5283200" cy="4216400"/>
                    </a:xfrm>
                    <a:prstGeom prst="rect">
                      <a:avLst/>
                    </a:prstGeom>
                    <a:noFill/>
                    <a:ln w="9525">
                      <a:noFill/>
                      <a:miter lim="800000"/>
                      <a:headEnd/>
                      <a:tailEnd/>
                    </a:ln>
                  </pic:spPr>
                </pic:pic>
              </a:graphicData>
            </a:graphic>
          </wp:inline>
        </w:drawing>
      </w:r>
    </w:p>
    <w:p w:rsidR="00B471CE" w:rsidRDefault="00B471CE" w:rsidP="00FD4E3A">
      <w:pPr>
        <w:spacing w:after="0" w:line="240" w:lineRule="auto"/>
        <w:jc w:val="left"/>
        <w:rPr>
          <w:noProof/>
          <w:lang w:eastAsia="en-GB"/>
        </w:rPr>
      </w:pPr>
    </w:p>
    <w:p w:rsidR="00B471CE" w:rsidRPr="00383954" w:rsidRDefault="00B471CE" w:rsidP="00FD4E3A">
      <w:pPr>
        <w:spacing w:after="0" w:line="240" w:lineRule="auto"/>
        <w:jc w:val="left"/>
        <w:rPr>
          <w:i/>
          <w:noProof/>
          <w:lang w:eastAsia="en-GB"/>
        </w:rPr>
      </w:pPr>
      <w:r w:rsidRPr="00383954">
        <w:rPr>
          <w:i/>
          <w:noProof/>
          <w:lang w:eastAsia="en-GB"/>
        </w:rPr>
        <w:t>(see “How to read the box-plots?” on page 7)</w:t>
      </w:r>
    </w:p>
    <w:p w:rsidR="00B471CE" w:rsidRDefault="00B471CE" w:rsidP="00FD4E3A">
      <w:pPr>
        <w:spacing w:after="0" w:line="240" w:lineRule="auto"/>
        <w:jc w:val="left"/>
        <w:rPr>
          <w:noProof/>
          <w:lang w:eastAsia="en-GB"/>
        </w:rPr>
      </w:pPr>
    </w:p>
    <w:p w:rsidR="00B471CE" w:rsidRDefault="00B471CE" w:rsidP="00FD4E3A">
      <w:pPr>
        <w:spacing w:after="0" w:line="240" w:lineRule="auto"/>
        <w:jc w:val="left"/>
        <w:rPr>
          <w:noProof/>
          <w:lang w:eastAsia="en-GB"/>
        </w:rPr>
      </w:pPr>
    </w:p>
    <w:p w:rsidR="00B471CE" w:rsidRDefault="00B471CE" w:rsidP="00FD4E3A">
      <w:pPr>
        <w:spacing w:after="0" w:line="240" w:lineRule="auto"/>
        <w:jc w:val="left"/>
        <w:rPr>
          <w:noProof/>
          <w:lang w:eastAsia="en-GB"/>
        </w:rPr>
      </w:pPr>
    </w:p>
    <w:p w:rsidR="00B471CE" w:rsidRDefault="00B471CE">
      <w:pPr>
        <w:spacing w:after="0" w:line="240" w:lineRule="auto"/>
        <w:jc w:val="left"/>
        <w:rPr>
          <w:noProof/>
          <w:lang w:eastAsia="en-GB"/>
        </w:rPr>
      </w:pPr>
      <w:r>
        <w:rPr>
          <w:noProof/>
          <w:lang w:eastAsia="en-GB"/>
        </w:rPr>
        <w:br w:type="page"/>
      </w:r>
    </w:p>
    <w:p w:rsidR="00B471CE" w:rsidRPr="00442F0E" w:rsidRDefault="00B471CE" w:rsidP="005761A6">
      <w:pPr>
        <w:pStyle w:val="Heading1"/>
      </w:pPr>
      <w:r w:rsidRPr="00442F0E">
        <w:lastRenderedPageBreak/>
        <w:t xml:space="preserve">Territorial factors of interest for the programme area </w:t>
      </w:r>
    </w:p>
    <w:p w:rsidR="00442F0E" w:rsidRDefault="00442F0E" w:rsidP="00442F0E">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442F0E" w:rsidRDefault="00442F0E" w:rsidP="00442F0E">
      <w:r>
        <w:t xml:space="preserve">In a European perspective the programme area comprises mainly intermediate regions close to a city and rural regions. Nevertheless, the programme area comprises a number of important European cities such as Bern, Geneva and Lausanne, as well as a range of smaller cities. Furthermore, some parts of the programme area lie in close proximity to other larger agglomerations such as Lyon, Grenoble or Basel. This implies that the programme area, compared to many other cross-border regions, benefits from good access to several European metropolitan growth areas. </w:t>
      </w:r>
    </w:p>
    <w:p w:rsidR="00442F0E" w:rsidRDefault="00442F0E" w:rsidP="00442F0E">
      <w:r>
        <w:t xml:space="preserve">This concerns both the access to services and infrastructure. Most parts of the programme area have above average European accessibility, and the larger urban centres offer furthermore good opportunities for one-day business trips within the European urban network. Furthermore, most parts of the programme area have above average border-crossings per 100 km border which also supports the development of cross-border functional areas, as in the case of Geneva. </w:t>
      </w:r>
    </w:p>
    <w:p w:rsidR="00442F0E" w:rsidRDefault="00442F0E" w:rsidP="00442F0E">
      <w:r>
        <w:t xml:space="preserve">The intermediate and partially rural character comprises a range of development opportunities and challenges. In European perspective the area is widely characterised as mountainous. </w:t>
      </w:r>
      <w:r w:rsidRPr="0032010C">
        <w:t xml:space="preserve">ESPON GEOSPECS has developed a nexus model for mountainous regions linking defining features via intermediary process to development challenges and opportunities (see figure). This model can be of interest for further developing the discussion about the challenges and opportunities in the programme area. </w:t>
      </w:r>
      <w:r>
        <w:t>Furthermore, the scientific report of GEOSPECS includes a case study in the cross-border metropolitan areas of Geneva.</w:t>
      </w:r>
    </w:p>
    <w:p w:rsidR="00442F0E" w:rsidRDefault="00442F0E" w:rsidP="00442F0E">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102:</w:t>
      </w:r>
      <w:r>
        <w:rPr>
          <w:rFonts w:cs="Calibri"/>
          <w:sz w:val="18"/>
          <w:szCs w:val="20"/>
          <w:lang w:eastAsia="fr-FR"/>
        </w:rPr>
        <w:br/>
        <w:t>Nexus model for mountain areas</w:t>
      </w:r>
    </w:p>
    <w:p w:rsidR="00442F0E" w:rsidRDefault="00442F0E" w:rsidP="00442F0E">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185857"/>
            <wp:effectExtent l="25400" t="0" r="4445"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5278755" cy="3185857"/>
                    </a:xfrm>
                    <a:prstGeom prst="rect">
                      <a:avLst/>
                    </a:prstGeom>
                    <a:noFill/>
                    <a:ln w="9525">
                      <a:noFill/>
                      <a:miter lim="800000"/>
                      <a:headEnd/>
                      <a:tailEnd/>
                    </a:ln>
                  </pic:spPr>
                </pic:pic>
              </a:graphicData>
            </a:graphic>
          </wp:inline>
        </w:drawing>
      </w:r>
    </w:p>
    <w:p w:rsidR="00B471CE" w:rsidRDefault="00B471CE" w:rsidP="00442F0E">
      <w:pPr>
        <w:shd w:val="clear" w:color="auto" w:fill="F2F2F2" w:themeFill="background1" w:themeFillShade="F2"/>
      </w:pPr>
      <w:r>
        <w:br w:type="page"/>
      </w:r>
    </w:p>
    <w:p w:rsidR="00B471CE" w:rsidRPr="00C33A99" w:rsidRDefault="00B471CE" w:rsidP="005A5FC4">
      <w:pPr>
        <w:rPr>
          <w:b/>
        </w:rPr>
      </w:pPr>
      <w:r w:rsidRPr="0019394E">
        <w:rPr>
          <w:b/>
          <w:noProof/>
          <w:lang w:eastAsia="en-GB"/>
        </w:rPr>
        <w:lastRenderedPageBreak/>
        <w:t xml:space="preserve">MAP </w:t>
      </w:r>
      <w:r>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Pr>
          <w:b/>
        </w:rPr>
        <w:t>France – Switzerland</w:t>
      </w:r>
    </w:p>
    <w:p w:rsidR="00B471CE" w:rsidRDefault="00B471CE" w:rsidP="0089569C">
      <w:pPr>
        <w:spacing w:after="0" w:line="240" w:lineRule="auto"/>
        <w:jc w:val="left"/>
        <w:rPr>
          <w:noProof/>
          <w:lang w:eastAsia="en-GB"/>
        </w:rPr>
      </w:pPr>
    </w:p>
    <w:p w:rsidR="00B471CE" w:rsidRDefault="0090114F" w:rsidP="0089569C">
      <w:pPr>
        <w:spacing w:after="0" w:line="240" w:lineRule="auto"/>
        <w:jc w:val="left"/>
        <w:rPr>
          <w:noProof/>
          <w:lang w:eastAsia="en-GB"/>
        </w:rPr>
      </w:pPr>
      <w:r w:rsidRPr="0090114F">
        <w:rPr>
          <w:noProof/>
          <w:lang w:val="de-DE" w:eastAsia="de-DE"/>
        </w:rPr>
        <w:pict>
          <v:oval id="_x0000_s1050" style="position:absolute;margin-left:145.2pt;margin-top:260.95pt;width:39pt;height:29.85pt;z-index:251673088" filled="f" strokecolor="#0070c0" strokeweight="2pt"/>
        </w:pict>
      </w:r>
      <w:r w:rsidR="00151DEB">
        <w:rPr>
          <w:noProof/>
          <w:lang w:val="en-US"/>
        </w:rPr>
        <w:drawing>
          <wp:inline distT="0" distB="0" distL="0" distR="0">
            <wp:extent cx="5278755" cy="7214065"/>
            <wp:effectExtent l="19050" t="0" r="0"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2F474E" w:rsidRPr="0085195F" w:rsidRDefault="002F474E" w:rsidP="002F474E">
      <w:pPr>
        <w:jc w:val="right"/>
        <w:rPr>
          <w:i/>
        </w:rPr>
      </w:pPr>
      <w:r w:rsidRPr="0085195F">
        <w:rPr>
          <w:i/>
        </w:rPr>
        <w:t>(Accessible=close to a city)</w:t>
      </w:r>
    </w:p>
    <w:p w:rsidR="00B471CE" w:rsidRDefault="00B471CE" w:rsidP="0089569C">
      <w:pPr>
        <w:spacing w:after="0" w:line="240" w:lineRule="auto"/>
        <w:jc w:val="left"/>
        <w:rPr>
          <w:noProof/>
          <w:lang w:eastAsia="en-GB"/>
        </w:rPr>
      </w:pPr>
    </w:p>
    <w:p w:rsidR="00B471CE" w:rsidRDefault="00B471CE" w:rsidP="0019394E">
      <w:pPr>
        <w:spacing w:after="0" w:line="240" w:lineRule="auto"/>
        <w:jc w:val="left"/>
        <w:rPr>
          <w:noProof/>
          <w:lang w:eastAsia="en-GB"/>
        </w:rPr>
      </w:pPr>
      <w:r>
        <w:rPr>
          <w:noProof/>
          <w:lang w:eastAsia="en-GB"/>
        </w:rPr>
        <w:br w:type="page"/>
      </w:r>
    </w:p>
    <w:p w:rsidR="00B471CE" w:rsidRDefault="00B471CE" w:rsidP="005A5FC4">
      <w:pPr>
        <w:rPr>
          <w:b/>
        </w:rPr>
      </w:pPr>
      <w:r>
        <w:rPr>
          <w:b/>
          <w:noProof/>
          <w:lang w:eastAsia="en-GB"/>
        </w:rPr>
        <w:lastRenderedPageBreak/>
        <w:t xml:space="preserve">MAP 5 – </w:t>
      </w:r>
      <w:r w:rsidRPr="0019394E">
        <w:rPr>
          <w:b/>
          <w:noProof/>
          <w:lang w:eastAsia="en-GB"/>
        </w:rPr>
        <w:t xml:space="preserve">Multimodal accessibilty (ESPON Accessibility Update) </w:t>
      </w:r>
      <w:r>
        <w:rPr>
          <w:b/>
          <w:noProof/>
          <w:lang w:eastAsia="en-GB"/>
        </w:rPr>
        <w:t xml:space="preserve">for the CBC </w:t>
      </w:r>
      <w:r>
        <w:rPr>
          <w:b/>
        </w:rPr>
        <w:t>France – Switzerland</w:t>
      </w:r>
    </w:p>
    <w:p w:rsidR="00115C2B" w:rsidRPr="00021CAB" w:rsidRDefault="00115C2B" w:rsidP="00115C2B">
      <w:pPr>
        <w:spacing w:after="240"/>
        <w:rPr>
          <w:i/>
        </w:rPr>
      </w:pPr>
      <w:r w:rsidRPr="00021CAB">
        <w:rPr>
          <w:i/>
        </w:rPr>
        <w:t>“Potential Accessibility Multimodal” scores accessibility of NUTS 3 regions by road, rail and air relative to the European average in an Accessibility Index.</w:t>
      </w:r>
    </w:p>
    <w:p w:rsidR="00B471CE" w:rsidRDefault="0090114F" w:rsidP="0089569C">
      <w:pPr>
        <w:spacing w:after="0" w:line="240" w:lineRule="auto"/>
        <w:jc w:val="left"/>
        <w:rPr>
          <w:noProof/>
          <w:lang w:eastAsia="en-GB"/>
        </w:rPr>
      </w:pPr>
      <w:r w:rsidRPr="0090114F">
        <w:rPr>
          <w:noProof/>
          <w:lang w:val="de-DE" w:eastAsia="de-DE"/>
        </w:rPr>
        <w:pict>
          <v:oval id="_x0000_s1051" style="position:absolute;margin-left:141.05pt;margin-top:253.5pt;width:47.3pt;height:36.2pt;z-index:251674112" filled="f" strokecolor="#0070c0" strokeweight="2pt"/>
        </w:pict>
      </w:r>
      <w:r w:rsidR="00B45E45">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2" cstate="print"/>
                    <a:stretch>
                      <a:fillRect/>
                    </a:stretch>
                  </pic:blipFill>
                  <pic:spPr>
                    <a:xfrm>
                      <a:off x="0" y="0"/>
                      <a:ext cx="5278755" cy="7444105"/>
                    </a:xfrm>
                    <a:prstGeom prst="rect">
                      <a:avLst/>
                    </a:prstGeom>
                  </pic:spPr>
                </pic:pic>
              </a:graphicData>
            </a:graphic>
          </wp:inline>
        </w:drawing>
      </w:r>
    </w:p>
    <w:p w:rsidR="00B471CE" w:rsidRDefault="00B471CE" w:rsidP="0089569C">
      <w:pPr>
        <w:spacing w:after="0" w:line="240" w:lineRule="auto"/>
        <w:jc w:val="left"/>
        <w:rPr>
          <w:noProof/>
          <w:lang w:eastAsia="en-GB"/>
        </w:rPr>
      </w:pPr>
    </w:p>
    <w:p w:rsidR="00B471CE" w:rsidRDefault="00B471CE" w:rsidP="0019394E">
      <w:pPr>
        <w:spacing w:after="0" w:line="240" w:lineRule="auto"/>
        <w:jc w:val="left"/>
        <w:rPr>
          <w:noProof/>
          <w:lang w:eastAsia="en-GB"/>
        </w:rPr>
      </w:pPr>
      <w:r>
        <w:rPr>
          <w:noProof/>
          <w:lang w:eastAsia="en-GB"/>
        </w:rPr>
        <w:br w:type="page"/>
      </w:r>
    </w:p>
    <w:p w:rsidR="00B471CE" w:rsidRPr="00442F0E" w:rsidRDefault="00B471CE" w:rsidP="0019394E">
      <w:pPr>
        <w:pStyle w:val="Heading1"/>
      </w:pPr>
      <w:r w:rsidRPr="00442F0E">
        <w:lastRenderedPageBreak/>
        <w:t>Recommended ESPON reading</w:t>
      </w:r>
    </w:p>
    <w:p w:rsidR="00442F0E" w:rsidRDefault="00442F0E" w:rsidP="00442F0E">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442F0E" w:rsidRDefault="00442F0E" w:rsidP="00442F0E">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442F0E" w:rsidRPr="00A0472D" w:rsidTr="00022789">
        <w:trPr>
          <w:trHeight w:val="203"/>
        </w:trPr>
        <w:tc>
          <w:tcPr>
            <w:tcW w:w="1276" w:type="dxa"/>
            <w:shd w:val="clear" w:color="auto" w:fill="auto"/>
          </w:tcPr>
          <w:p w:rsidR="00442F0E" w:rsidRPr="00A0472D" w:rsidRDefault="00442F0E" w:rsidP="00022789">
            <w:pPr>
              <w:spacing w:after="0" w:line="20" w:lineRule="atLeast"/>
              <w:rPr>
                <w:b/>
                <w:sz w:val="18"/>
                <w:szCs w:val="18"/>
              </w:rPr>
            </w:pPr>
            <w:r w:rsidRPr="00A0472D">
              <w:rPr>
                <w:b/>
                <w:sz w:val="18"/>
                <w:szCs w:val="18"/>
              </w:rPr>
              <w:t>ESPON study</w:t>
            </w:r>
          </w:p>
        </w:tc>
        <w:tc>
          <w:tcPr>
            <w:tcW w:w="1418" w:type="dxa"/>
            <w:shd w:val="clear" w:color="auto" w:fill="auto"/>
          </w:tcPr>
          <w:p w:rsidR="00442F0E" w:rsidRPr="00A0472D" w:rsidRDefault="00442F0E" w:rsidP="00022789">
            <w:pPr>
              <w:spacing w:after="0" w:line="20" w:lineRule="atLeast"/>
              <w:rPr>
                <w:b/>
                <w:sz w:val="18"/>
                <w:szCs w:val="18"/>
              </w:rPr>
            </w:pPr>
            <w:r w:rsidRPr="00A0472D">
              <w:rPr>
                <w:b/>
                <w:sz w:val="18"/>
                <w:szCs w:val="18"/>
              </w:rPr>
              <w:t>Topic</w:t>
            </w:r>
          </w:p>
        </w:tc>
        <w:tc>
          <w:tcPr>
            <w:tcW w:w="5670" w:type="dxa"/>
            <w:shd w:val="clear" w:color="auto" w:fill="auto"/>
          </w:tcPr>
          <w:p w:rsidR="00442F0E" w:rsidRPr="00A0472D" w:rsidRDefault="00442F0E" w:rsidP="00022789">
            <w:pPr>
              <w:spacing w:after="0" w:line="20" w:lineRule="atLeast"/>
              <w:rPr>
                <w:b/>
                <w:sz w:val="18"/>
                <w:szCs w:val="18"/>
              </w:rPr>
            </w:pPr>
            <w:r w:rsidRPr="00A0472D">
              <w:rPr>
                <w:b/>
                <w:sz w:val="18"/>
                <w:szCs w:val="18"/>
              </w:rPr>
              <w:t>Content</w:t>
            </w:r>
          </w:p>
        </w:tc>
      </w:tr>
      <w:tr w:rsidR="00442F0E" w:rsidRPr="00A0472D" w:rsidTr="00022789">
        <w:trPr>
          <w:trHeight w:val="274"/>
        </w:trPr>
        <w:tc>
          <w:tcPr>
            <w:tcW w:w="1276" w:type="dxa"/>
            <w:shd w:val="clear" w:color="auto" w:fill="FFFFFF" w:themeFill="background1"/>
          </w:tcPr>
          <w:p w:rsidR="00442F0E" w:rsidRPr="00A0472D" w:rsidRDefault="00442F0E" w:rsidP="00022789">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442F0E" w:rsidRPr="00A0472D" w:rsidRDefault="00442F0E" w:rsidP="00022789">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442F0E" w:rsidRPr="00A0472D" w:rsidRDefault="00442F0E" w:rsidP="00022789">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442F0E" w:rsidRPr="00A0472D" w:rsidTr="00022789">
        <w:trPr>
          <w:trHeight w:val="274"/>
        </w:trPr>
        <w:tc>
          <w:tcPr>
            <w:tcW w:w="1276" w:type="dxa"/>
            <w:shd w:val="clear" w:color="auto" w:fill="FFFFFF" w:themeFill="background1"/>
          </w:tcPr>
          <w:p w:rsidR="00442F0E" w:rsidRPr="00A0472D" w:rsidRDefault="00442F0E" w:rsidP="00022789">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442F0E" w:rsidRPr="00A0472D" w:rsidRDefault="00442F0E" w:rsidP="00022789">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442F0E" w:rsidRPr="00AD3BFE" w:rsidRDefault="00442F0E" w:rsidP="00022789">
            <w:pPr>
              <w:spacing w:after="0" w:line="20" w:lineRule="atLeast"/>
              <w:rPr>
                <w:rFonts w:cs="Calibri"/>
                <w:sz w:val="18"/>
                <w:szCs w:val="20"/>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r>
              <w:rPr>
                <w:rFonts w:cs="Calibri"/>
                <w:sz w:val="18"/>
                <w:szCs w:val="18"/>
                <w:lang w:eastAsia="fr-FR"/>
              </w:rPr>
              <w:t xml:space="preserve"> </w:t>
            </w:r>
          </w:p>
        </w:tc>
      </w:tr>
      <w:tr w:rsidR="00442F0E" w:rsidRPr="00A0472D" w:rsidTr="00022789">
        <w:trPr>
          <w:trHeight w:val="274"/>
        </w:trPr>
        <w:tc>
          <w:tcPr>
            <w:tcW w:w="1276" w:type="dxa"/>
            <w:shd w:val="clear" w:color="auto" w:fill="FFFFFF" w:themeFill="background1"/>
          </w:tcPr>
          <w:p w:rsidR="00442F0E" w:rsidRPr="00A0472D" w:rsidRDefault="00442F0E" w:rsidP="00022789">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442F0E" w:rsidRPr="00A0472D" w:rsidRDefault="00442F0E" w:rsidP="00022789">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442F0E" w:rsidRPr="00A0472D" w:rsidRDefault="00442F0E" w:rsidP="00022789">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442F0E" w:rsidRPr="00A0472D" w:rsidTr="00022789">
        <w:trPr>
          <w:trHeight w:val="274"/>
        </w:trPr>
        <w:tc>
          <w:tcPr>
            <w:tcW w:w="1276" w:type="dxa"/>
            <w:shd w:val="clear" w:color="auto" w:fill="FFFFFF" w:themeFill="background1"/>
          </w:tcPr>
          <w:p w:rsidR="00442F0E" w:rsidRPr="00A0472D" w:rsidRDefault="00442F0E" w:rsidP="00022789">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442F0E" w:rsidRPr="00A0472D" w:rsidRDefault="00442F0E" w:rsidP="00022789">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442F0E" w:rsidRPr="00A0472D" w:rsidRDefault="00442F0E" w:rsidP="00022789">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442F0E" w:rsidRPr="00A0472D" w:rsidTr="00022789">
        <w:trPr>
          <w:trHeight w:val="274"/>
        </w:trPr>
        <w:tc>
          <w:tcPr>
            <w:tcW w:w="1276" w:type="dxa"/>
            <w:shd w:val="clear" w:color="auto" w:fill="FFFFFF" w:themeFill="background1"/>
          </w:tcPr>
          <w:p w:rsidR="00442F0E" w:rsidRPr="00A0472D" w:rsidRDefault="00442F0E" w:rsidP="00022789">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442F0E" w:rsidRPr="00A0472D" w:rsidRDefault="00442F0E" w:rsidP="00022789">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442F0E" w:rsidRPr="00A0472D" w:rsidRDefault="00442F0E" w:rsidP="00022789">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442F0E" w:rsidRPr="00A0472D" w:rsidTr="00022789">
        <w:trPr>
          <w:trHeight w:val="274"/>
        </w:trPr>
        <w:tc>
          <w:tcPr>
            <w:tcW w:w="1276" w:type="dxa"/>
            <w:tcBorders>
              <w:bottom w:val="single" w:sz="4" w:space="0" w:color="auto"/>
            </w:tcBorders>
            <w:shd w:val="clear" w:color="auto" w:fill="FFFFFF" w:themeFill="background1"/>
          </w:tcPr>
          <w:p w:rsidR="00442F0E" w:rsidRPr="00A0472D" w:rsidRDefault="00442F0E" w:rsidP="00022789">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442F0E" w:rsidRPr="00A0472D" w:rsidRDefault="00442F0E" w:rsidP="00022789">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442F0E" w:rsidRPr="00A0472D" w:rsidRDefault="00442F0E" w:rsidP="00022789">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442F0E" w:rsidRPr="00A0472D" w:rsidTr="00022789">
        <w:trPr>
          <w:trHeight w:val="274"/>
        </w:trPr>
        <w:tc>
          <w:tcPr>
            <w:tcW w:w="1276" w:type="dxa"/>
            <w:shd w:val="clear" w:color="auto" w:fill="FFFFFF" w:themeFill="background1"/>
          </w:tcPr>
          <w:p w:rsidR="00442F0E" w:rsidRPr="008152C4" w:rsidRDefault="00442F0E" w:rsidP="00022789">
            <w:pPr>
              <w:spacing w:after="0" w:line="20" w:lineRule="atLeast"/>
              <w:rPr>
                <w:sz w:val="18"/>
                <w:szCs w:val="18"/>
              </w:rPr>
            </w:pPr>
            <w:r>
              <w:rPr>
                <w:sz w:val="18"/>
                <w:szCs w:val="18"/>
              </w:rPr>
              <w:t>KIT</w:t>
            </w:r>
          </w:p>
        </w:tc>
        <w:tc>
          <w:tcPr>
            <w:tcW w:w="1418" w:type="dxa"/>
            <w:shd w:val="clear" w:color="auto" w:fill="FFFFFF" w:themeFill="background1"/>
          </w:tcPr>
          <w:p w:rsidR="00442F0E" w:rsidRPr="008152C4" w:rsidRDefault="00442F0E" w:rsidP="00022789">
            <w:pPr>
              <w:spacing w:after="0" w:line="20" w:lineRule="atLeast"/>
              <w:rPr>
                <w:sz w:val="18"/>
                <w:szCs w:val="18"/>
              </w:rPr>
            </w:pPr>
            <w:r w:rsidRPr="008152C4">
              <w:rPr>
                <w:sz w:val="18"/>
                <w:szCs w:val="18"/>
              </w:rPr>
              <w:t>Innovation</w:t>
            </w:r>
          </w:p>
        </w:tc>
        <w:tc>
          <w:tcPr>
            <w:tcW w:w="5670" w:type="dxa"/>
            <w:shd w:val="clear" w:color="auto" w:fill="FFFFFF" w:themeFill="background1"/>
          </w:tcPr>
          <w:p w:rsidR="00442F0E" w:rsidRPr="008152C4" w:rsidRDefault="00442F0E" w:rsidP="00022789">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442F0E" w:rsidRPr="00A0472D" w:rsidTr="00022789">
        <w:trPr>
          <w:trHeight w:val="274"/>
        </w:trPr>
        <w:tc>
          <w:tcPr>
            <w:tcW w:w="1276" w:type="dxa"/>
            <w:shd w:val="clear" w:color="auto" w:fill="FFFFFF" w:themeFill="background1"/>
          </w:tcPr>
          <w:p w:rsidR="00442F0E" w:rsidRPr="00A0472D" w:rsidRDefault="00442F0E" w:rsidP="00022789">
            <w:pPr>
              <w:spacing w:after="0" w:line="20" w:lineRule="atLeast"/>
              <w:rPr>
                <w:sz w:val="18"/>
                <w:szCs w:val="18"/>
              </w:rPr>
            </w:pPr>
            <w:r w:rsidRPr="008152C4">
              <w:rPr>
                <w:sz w:val="18"/>
                <w:szCs w:val="18"/>
              </w:rPr>
              <w:t>SGPTD</w:t>
            </w:r>
          </w:p>
        </w:tc>
        <w:tc>
          <w:tcPr>
            <w:tcW w:w="1418" w:type="dxa"/>
            <w:shd w:val="clear" w:color="auto" w:fill="FFFFFF" w:themeFill="background1"/>
          </w:tcPr>
          <w:p w:rsidR="00442F0E" w:rsidRPr="00A0472D" w:rsidRDefault="00442F0E" w:rsidP="00022789">
            <w:pPr>
              <w:spacing w:after="0" w:line="20" w:lineRule="atLeast"/>
              <w:rPr>
                <w:sz w:val="18"/>
                <w:szCs w:val="18"/>
              </w:rPr>
            </w:pPr>
            <w:r w:rsidRPr="008152C4">
              <w:rPr>
                <w:sz w:val="18"/>
                <w:szCs w:val="18"/>
              </w:rPr>
              <w:t>Growth poles</w:t>
            </w:r>
          </w:p>
        </w:tc>
        <w:tc>
          <w:tcPr>
            <w:tcW w:w="5670" w:type="dxa"/>
            <w:shd w:val="clear" w:color="auto" w:fill="FFFFFF" w:themeFill="background1"/>
          </w:tcPr>
          <w:p w:rsidR="00442F0E" w:rsidRPr="00A0472D" w:rsidRDefault="00442F0E" w:rsidP="00022789">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442F0E" w:rsidRPr="00AD3BFE" w:rsidTr="00022789">
        <w:trPr>
          <w:trHeight w:val="274"/>
        </w:trPr>
        <w:tc>
          <w:tcPr>
            <w:tcW w:w="1276" w:type="dxa"/>
            <w:shd w:val="clear" w:color="auto" w:fill="FFFFFF" w:themeFill="background1"/>
          </w:tcPr>
          <w:p w:rsidR="00442F0E" w:rsidRPr="009D2E8A" w:rsidRDefault="00442F0E" w:rsidP="00022789">
            <w:pPr>
              <w:spacing w:after="0" w:line="20" w:lineRule="atLeast"/>
              <w:rPr>
                <w:sz w:val="18"/>
                <w:szCs w:val="18"/>
              </w:rPr>
            </w:pPr>
            <w:r w:rsidRPr="007A064B">
              <w:rPr>
                <w:sz w:val="18"/>
                <w:szCs w:val="18"/>
              </w:rPr>
              <w:t>GEOSPECS</w:t>
            </w:r>
          </w:p>
        </w:tc>
        <w:tc>
          <w:tcPr>
            <w:tcW w:w="1418" w:type="dxa"/>
            <w:shd w:val="clear" w:color="auto" w:fill="FFFFFF" w:themeFill="background1"/>
          </w:tcPr>
          <w:p w:rsidR="00442F0E" w:rsidRPr="009D2E8A" w:rsidRDefault="00442F0E" w:rsidP="00022789">
            <w:pPr>
              <w:spacing w:after="0" w:line="20" w:lineRule="atLeast"/>
              <w:rPr>
                <w:sz w:val="18"/>
                <w:szCs w:val="18"/>
              </w:rPr>
            </w:pPr>
            <w:r w:rsidRPr="007A064B">
              <w:rPr>
                <w:sz w:val="18"/>
                <w:szCs w:val="18"/>
              </w:rPr>
              <w:t>Specific types of territories</w:t>
            </w:r>
          </w:p>
        </w:tc>
        <w:tc>
          <w:tcPr>
            <w:tcW w:w="5670" w:type="dxa"/>
            <w:shd w:val="clear" w:color="auto" w:fill="FFFFFF" w:themeFill="background1"/>
          </w:tcPr>
          <w:p w:rsidR="00442F0E" w:rsidRDefault="00442F0E" w:rsidP="00022789">
            <w:pPr>
              <w:spacing w:after="0" w:line="20" w:lineRule="atLeast"/>
              <w:rPr>
                <w:rFonts w:cs="Calibri"/>
                <w:sz w:val="18"/>
                <w:szCs w:val="20"/>
                <w:lang w:eastAsia="fr-FR"/>
              </w:rPr>
            </w:pPr>
            <w:r w:rsidRPr="007A064B">
              <w:rPr>
                <w:rFonts w:cs="Calibri"/>
                <w:sz w:val="18"/>
                <w:szCs w:val="20"/>
                <w:lang w:eastAsia="fr-FR"/>
              </w:rPr>
              <w:t>It provides evidence on specific types of territories and regions</w:t>
            </w:r>
            <w:r>
              <w:rPr>
                <w:rFonts w:cs="Calibri"/>
                <w:sz w:val="18"/>
                <w:szCs w:val="20"/>
                <w:lang w:eastAsia="fr-FR"/>
              </w:rPr>
              <w:t xml:space="preserve">, in particular, the </w:t>
            </w:r>
            <w:r w:rsidRPr="00B9565F">
              <w:rPr>
                <w:rFonts w:cs="Calibri"/>
                <w:sz w:val="18"/>
                <w:szCs w:val="20"/>
                <w:lang w:eastAsia="fr-FR"/>
              </w:rPr>
              <w:t>Jura massif</w:t>
            </w:r>
            <w:r>
              <w:rPr>
                <w:rFonts w:cs="Calibri"/>
                <w:sz w:val="18"/>
                <w:szCs w:val="20"/>
                <w:lang w:eastAsia="fr-FR"/>
              </w:rPr>
              <w:t xml:space="preserve"> and the </w:t>
            </w:r>
            <w:r w:rsidRPr="00B9565F">
              <w:rPr>
                <w:rFonts w:cs="Calibri"/>
                <w:sz w:val="18"/>
                <w:szCs w:val="20"/>
                <w:lang w:eastAsia="fr-FR"/>
              </w:rPr>
              <w:t xml:space="preserve">Cross-border Metropolitan Region of Geneva </w:t>
            </w:r>
            <w:r>
              <w:rPr>
                <w:rFonts w:cs="Calibri"/>
                <w:sz w:val="18"/>
                <w:szCs w:val="20"/>
                <w:lang w:eastAsia="fr-FR"/>
              </w:rPr>
              <w:t>are cases study areas.</w:t>
            </w:r>
          </w:p>
        </w:tc>
      </w:tr>
      <w:tr w:rsidR="00442F0E" w:rsidRPr="00AD3BFE" w:rsidTr="00022789">
        <w:trPr>
          <w:trHeight w:val="274"/>
        </w:trPr>
        <w:tc>
          <w:tcPr>
            <w:tcW w:w="1276" w:type="dxa"/>
            <w:shd w:val="clear" w:color="auto" w:fill="FFFFFF" w:themeFill="background1"/>
          </w:tcPr>
          <w:p w:rsidR="00442F0E" w:rsidRPr="00B9565F" w:rsidRDefault="00442F0E" w:rsidP="00022789">
            <w:pPr>
              <w:spacing w:after="0" w:line="20" w:lineRule="atLeast"/>
              <w:rPr>
                <w:sz w:val="18"/>
                <w:szCs w:val="18"/>
                <w:lang w:val="it-IT"/>
              </w:rPr>
            </w:pPr>
            <w:r w:rsidRPr="00B9565F">
              <w:rPr>
                <w:sz w:val="18"/>
                <w:szCs w:val="18"/>
                <w:lang w:val="it-IT"/>
              </w:rPr>
              <w:t>TeDi</w:t>
            </w:r>
          </w:p>
        </w:tc>
        <w:tc>
          <w:tcPr>
            <w:tcW w:w="1418" w:type="dxa"/>
            <w:shd w:val="clear" w:color="auto" w:fill="FFFFFF" w:themeFill="background1"/>
          </w:tcPr>
          <w:p w:rsidR="00442F0E" w:rsidRPr="00B9565F" w:rsidRDefault="00442F0E" w:rsidP="00022789">
            <w:pPr>
              <w:spacing w:after="0" w:line="20" w:lineRule="atLeast"/>
              <w:rPr>
                <w:sz w:val="18"/>
                <w:szCs w:val="18"/>
                <w:lang w:val="it-IT"/>
              </w:rPr>
            </w:pPr>
            <w:r w:rsidRPr="00B9565F">
              <w:rPr>
                <w:sz w:val="18"/>
                <w:szCs w:val="18"/>
                <w:lang w:val="it-IT"/>
              </w:rPr>
              <w:t>Territorial diversity</w:t>
            </w:r>
          </w:p>
        </w:tc>
        <w:tc>
          <w:tcPr>
            <w:tcW w:w="5670" w:type="dxa"/>
            <w:shd w:val="clear" w:color="auto" w:fill="FFFFFF" w:themeFill="background1"/>
          </w:tcPr>
          <w:p w:rsidR="00442F0E" w:rsidRPr="009636BE" w:rsidRDefault="00442F0E" w:rsidP="00022789">
            <w:pPr>
              <w:spacing w:after="0" w:line="20" w:lineRule="atLeast"/>
              <w:rPr>
                <w:rFonts w:cs="Calibri"/>
                <w:sz w:val="18"/>
                <w:szCs w:val="18"/>
                <w:lang w:eastAsia="fr-FR"/>
              </w:rPr>
            </w:pPr>
            <w:r w:rsidRPr="00B9565F">
              <w:rPr>
                <w:rFonts w:cs="Calibri"/>
                <w:sz w:val="18"/>
                <w:szCs w:val="20"/>
                <w:lang w:eastAsia="fr-FR"/>
              </w:rPr>
              <w:t>It provides</w:t>
            </w:r>
            <w:r>
              <w:rPr>
                <w:rFonts w:cs="Calibri"/>
                <w:sz w:val="18"/>
                <w:szCs w:val="20"/>
                <w:lang w:eastAsia="fr-FR"/>
              </w:rPr>
              <w:t xml:space="preserve"> evidence on territorial</w:t>
            </w:r>
            <w:r w:rsidRPr="00B9565F">
              <w:rPr>
                <w:rFonts w:cs="Calibri"/>
                <w:sz w:val="18"/>
                <w:szCs w:val="20"/>
                <w:lang w:eastAsia="fr-FR"/>
              </w:rPr>
              <w:t xml:space="preserve"> development processes. </w:t>
            </w:r>
            <w:r>
              <w:rPr>
                <w:rFonts w:cs="Calibri"/>
                <w:sz w:val="18"/>
                <w:szCs w:val="20"/>
                <w:lang w:eastAsia="fr-FR"/>
              </w:rPr>
              <w:t xml:space="preserve">In particular it focuses on the Swiss regions of </w:t>
            </w:r>
            <w:r w:rsidRPr="00B9565F">
              <w:rPr>
                <w:rFonts w:cs="Calibri"/>
                <w:sz w:val="18"/>
                <w:szCs w:val="20"/>
                <w:lang w:eastAsia="fr-FR"/>
              </w:rPr>
              <w:t xml:space="preserve">Jura </w:t>
            </w:r>
            <w:r>
              <w:rPr>
                <w:rFonts w:cs="Calibri"/>
                <w:sz w:val="18"/>
                <w:szCs w:val="20"/>
                <w:lang w:eastAsia="fr-FR"/>
              </w:rPr>
              <w:t xml:space="preserve">and </w:t>
            </w:r>
            <w:r w:rsidRPr="00B9565F">
              <w:rPr>
                <w:rFonts w:cs="Calibri"/>
                <w:sz w:val="18"/>
                <w:szCs w:val="20"/>
                <w:lang w:eastAsia="fr-FR"/>
              </w:rPr>
              <w:t>Valais</w:t>
            </w:r>
            <w:r>
              <w:rPr>
                <w:rFonts w:cs="Calibri"/>
                <w:sz w:val="18"/>
                <w:szCs w:val="20"/>
                <w:lang w:eastAsia="fr-FR"/>
              </w:rPr>
              <w:t xml:space="preserve"> (see maps 1, 5, 9, 10 and 11 and figures 4-5)</w:t>
            </w:r>
            <w:r>
              <w:rPr>
                <w:rFonts w:cs="Calibri"/>
                <w:sz w:val="18"/>
                <w:szCs w:val="18"/>
                <w:lang w:eastAsia="fr-FR"/>
              </w:rPr>
              <w:t>.</w:t>
            </w:r>
          </w:p>
        </w:tc>
      </w:tr>
    </w:tbl>
    <w:p w:rsidR="00442F0E" w:rsidRDefault="00442F0E" w:rsidP="00442F0E">
      <w:pPr>
        <w:spacing w:before="240"/>
      </w:pPr>
      <w:r>
        <w:t>Furthermore, some of overall ESPON products of particular interest for territorial cooperation are:</w:t>
      </w:r>
    </w:p>
    <w:p w:rsidR="00442F0E" w:rsidRDefault="00442F0E" w:rsidP="00442F0E">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442F0E" w:rsidRDefault="00442F0E" w:rsidP="00442F0E">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442F0E" w:rsidRPr="00A33083" w:rsidRDefault="00442F0E" w:rsidP="00442F0E">
      <w:pPr>
        <w:pStyle w:val="ListParagraph"/>
        <w:numPr>
          <w:ilvl w:val="0"/>
          <w:numId w:val="4"/>
        </w:numPr>
      </w:pPr>
      <w:r w:rsidRPr="00112693">
        <w:rPr>
          <w:b/>
        </w:rPr>
        <w:t>ESPON 2013 Database</w:t>
      </w:r>
      <w:r w:rsidRPr="00A33083">
        <w:t xml:space="preserve"> provides regional information provided by </w:t>
      </w:r>
      <w:hyperlink r:id="rId23" w:history="1">
        <w:r w:rsidRPr="00A33083">
          <w:t>ESPON projects</w:t>
        </w:r>
      </w:hyperlink>
      <w:r w:rsidRPr="00A33083">
        <w:t xml:space="preserve"> and </w:t>
      </w:r>
      <w:hyperlink r:id="rId24" w:history="1">
        <w:r w:rsidRPr="00A33083">
          <w:t>EUROSTAT</w:t>
        </w:r>
      </w:hyperlink>
      <w:r w:rsidRPr="00A33083">
        <w:t xml:space="preserve">. </w:t>
      </w:r>
    </w:p>
    <w:p w:rsidR="00442F0E" w:rsidRDefault="00442F0E" w:rsidP="00442F0E">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442F0E" w:rsidRPr="00CD642B" w:rsidRDefault="00442F0E" w:rsidP="00442F0E">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442F0E" w:rsidRDefault="00442F0E" w:rsidP="00442F0E">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442F0E" w:rsidRPr="003E2CCE" w:rsidRDefault="00442F0E" w:rsidP="00442F0E">
      <w:pPr>
        <w:jc w:val="center"/>
      </w:pPr>
      <w:r w:rsidRPr="00CD642B">
        <w:t>All ESPON reports and tools are freely available at</w:t>
      </w:r>
      <w:r>
        <w:br/>
      </w:r>
      <w:r w:rsidRPr="00CD642B">
        <w:rPr>
          <w:b/>
        </w:rPr>
        <w:t>www.espon.eu</w:t>
      </w:r>
    </w:p>
    <w:p w:rsidR="00B471CE" w:rsidRDefault="00B471CE" w:rsidP="005A5FC4"/>
    <w:p w:rsidR="00B471CE" w:rsidRPr="00127102" w:rsidRDefault="00403B49" w:rsidP="00BC65E1">
      <w:pPr>
        <w:pStyle w:val="ESPONText"/>
        <w:rPr>
          <w:rFonts w:ascii="Arial" w:hAnsi="Arial" w:cs="Arial"/>
        </w:rPr>
      </w:pPr>
      <w:r>
        <w:rPr>
          <w:noProof/>
          <w:lang w:val="en-US" w:eastAsia="en-US"/>
        </w:rPr>
        <w:lastRenderedPageBreak/>
        <w:drawing>
          <wp:anchor distT="0" distB="0" distL="114300" distR="114300" simplePos="0" relativeHeight="251650560" behindDoc="0" locked="0" layoutInCell="1" allowOverlap="1">
            <wp:simplePos x="0" y="0"/>
            <wp:positionH relativeFrom="column">
              <wp:posOffset>-1115695</wp:posOffset>
            </wp:positionH>
            <wp:positionV relativeFrom="paragraph">
              <wp:posOffset>-864235</wp:posOffset>
            </wp:positionV>
            <wp:extent cx="7594600" cy="10692130"/>
            <wp:effectExtent l="25400" t="0" r="0" b="0"/>
            <wp:wrapSquare wrapText="bothSides"/>
            <wp:docPr id="1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ver-TPG"/>
                    <pic:cNvPicPr>
                      <a:picLocks noChangeAspect="1" noChangeArrowheads="1"/>
                    </pic:cNvPicPr>
                  </pic:nvPicPr>
                  <pic:blipFill>
                    <a:blip r:embed="rId25" cstate="print"/>
                    <a:srcRect r="50919"/>
                    <a:stretch>
                      <a:fillRect/>
                    </a:stretch>
                  </pic:blipFill>
                  <pic:spPr bwMode="auto">
                    <a:xfrm>
                      <a:off x="0" y="0"/>
                      <a:ext cx="7594600" cy="10692130"/>
                    </a:xfrm>
                    <a:prstGeom prst="rect">
                      <a:avLst/>
                    </a:prstGeom>
                    <a:noFill/>
                  </pic:spPr>
                </pic:pic>
              </a:graphicData>
            </a:graphic>
          </wp:anchor>
        </w:drawing>
      </w:r>
      <w:r w:rsidR="0090114F" w:rsidRPr="0090114F">
        <w:rPr>
          <w:noProof/>
          <w:lang w:val="hu-HU" w:eastAsia="hu-HU"/>
        </w:rPr>
        <w:pict>
          <v:shapetype id="_x0000_t202" coordsize="21600,21600" o:spt="202" path="m,l,21600r21600,l21600,xe">
            <v:stroke joinstyle="miter"/>
            <v:path gradientshapeok="t" o:connecttype="rect"/>
          </v:shapetype>
          <v:shape id="Text Box 2" o:spid="_x0000_s1042" type="#_x0000_t202" style="position:absolute;left:0;text-align:left;margin-left:-36.1pt;margin-top:-301.9pt;width:228pt;height:141.1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B471CE" w:rsidRPr="00FB783A" w:rsidRDefault="00B471CE"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471CE" w:rsidRPr="00127102" w:rsidSect="00C33A99">
      <w:headerReference w:type="default" r:id="rId26"/>
      <w:footerReference w:type="default" r:id="rId27"/>
      <w:pgSz w:w="11907" w:h="16839" w:code="9"/>
      <w:pgMar w:top="1361" w:right="1797" w:bottom="1361" w:left="179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8A0" w:rsidRDefault="005C78A0">
      <w:r>
        <w:separator/>
      </w:r>
    </w:p>
  </w:endnote>
  <w:endnote w:type="continuationSeparator" w:id="0">
    <w:p w:rsidR="005C78A0" w:rsidRDefault="005C78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1CE" w:rsidRDefault="0090114F" w:rsidP="00BC65E1">
    <w:pPr>
      <w:framePr w:wrap="around" w:vAnchor="text" w:hAnchor="margin" w:xAlign="right" w:y="1"/>
      <w:rPr>
        <w:rStyle w:val="PageNumber"/>
      </w:rPr>
    </w:pPr>
    <w:r>
      <w:rPr>
        <w:rStyle w:val="PageNumber"/>
      </w:rPr>
      <w:fldChar w:fldCharType="begin"/>
    </w:r>
    <w:r w:rsidR="00B471CE">
      <w:rPr>
        <w:rStyle w:val="PageNumber"/>
      </w:rPr>
      <w:instrText xml:space="preserve">PAGE  </w:instrText>
    </w:r>
    <w:r>
      <w:rPr>
        <w:rStyle w:val="PageNumber"/>
      </w:rPr>
      <w:fldChar w:fldCharType="separate"/>
    </w:r>
    <w:r w:rsidR="00B471CE">
      <w:rPr>
        <w:rStyle w:val="PageNumber"/>
        <w:noProof/>
      </w:rPr>
      <w:t>3</w:t>
    </w:r>
    <w:r>
      <w:rPr>
        <w:rStyle w:val="PageNumber"/>
      </w:rPr>
      <w:fldChar w:fldCharType="end"/>
    </w:r>
  </w:p>
  <w:p w:rsidR="00B471CE" w:rsidRDefault="00B471CE">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1CE" w:rsidRPr="00A15B61" w:rsidRDefault="0090114F" w:rsidP="00BC65E1">
    <w:pPr>
      <w:pStyle w:val="Footer"/>
      <w:framePr w:wrap="around" w:vAnchor="text" w:hAnchor="margin" w:xAlign="right" w:y="1"/>
      <w:rPr>
        <w:rStyle w:val="PageNumber"/>
      </w:rPr>
    </w:pPr>
    <w:r>
      <w:rPr>
        <w:rStyle w:val="PageNumber"/>
        <w:szCs w:val="20"/>
      </w:rPr>
      <w:fldChar w:fldCharType="begin"/>
    </w:r>
    <w:r w:rsidR="00B471CE">
      <w:rPr>
        <w:rStyle w:val="PageNumber"/>
        <w:szCs w:val="20"/>
      </w:rPr>
      <w:instrText>PAGE</w:instrText>
    </w:r>
    <w:r w:rsidR="00B471CE" w:rsidRPr="00A15B61">
      <w:rPr>
        <w:rStyle w:val="PageNumber"/>
        <w:szCs w:val="20"/>
      </w:rPr>
      <w:instrText xml:space="preserve">  </w:instrText>
    </w:r>
    <w:r>
      <w:rPr>
        <w:rStyle w:val="PageNumber"/>
        <w:szCs w:val="20"/>
      </w:rPr>
      <w:fldChar w:fldCharType="separate"/>
    </w:r>
    <w:r w:rsidR="002F474E">
      <w:rPr>
        <w:rStyle w:val="PageNumber"/>
        <w:noProof/>
        <w:szCs w:val="20"/>
      </w:rPr>
      <w:t>1</w:t>
    </w:r>
    <w:r>
      <w:rPr>
        <w:rStyle w:val="PageNumber"/>
        <w:szCs w:val="20"/>
      </w:rPr>
      <w:fldChar w:fldCharType="end"/>
    </w:r>
  </w:p>
  <w:p w:rsidR="00B471CE" w:rsidRPr="00A15B61" w:rsidRDefault="00B471CE"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1CE" w:rsidRPr="00A15B61" w:rsidRDefault="0090114F" w:rsidP="00BC65E1">
    <w:pPr>
      <w:pStyle w:val="Footer"/>
      <w:framePr w:wrap="around" w:vAnchor="text" w:hAnchor="margin" w:xAlign="right" w:y="1"/>
      <w:rPr>
        <w:rStyle w:val="PageNumber"/>
      </w:rPr>
    </w:pPr>
    <w:r>
      <w:rPr>
        <w:rStyle w:val="PageNumber"/>
        <w:szCs w:val="20"/>
      </w:rPr>
      <w:fldChar w:fldCharType="begin"/>
    </w:r>
    <w:r w:rsidR="00B471CE">
      <w:rPr>
        <w:rStyle w:val="PageNumber"/>
        <w:szCs w:val="20"/>
      </w:rPr>
      <w:instrText>PAGE</w:instrText>
    </w:r>
    <w:r w:rsidR="00B471CE" w:rsidRPr="00A15B61">
      <w:rPr>
        <w:rStyle w:val="PageNumber"/>
        <w:szCs w:val="20"/>
      </w:rPr>
      <w:instrText xml:space="preserve">  </w:instrText>
    </w:r>
    <w:r>
      <w:rPr>
        <w:rStyle w:val="PageNumber"/>
        <w:szCs w:val="20"/>
      </w:rPr>
      <w:fldChar w:fldCharType="separate"/>
    </w:r>
    <w:r w:rsidR="002F474E">
      <w:rPr>
        <w:rStyle w:val="PageNumber"/>
        <w:noProof/>
        <w:szCs w:val="20"/>
      </w:rPr>
      <w:t>16</w:t>
    </w:r>
    <w:r>
      <w:rPr>
        <w:rStyle w:val="PageNumber"/>
        <w:szCs w:val="20"/>
      </w:rPr>
      <w:fldChar w:fldCharType="end"/>
    </w:r>
  </w:p>
  <w:p w:rsidR="00B471CE" w:rsidRPr="00A15B61" w:rsidRDefault="00B471CE"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8A0" w:rsidRDefault="005C78A0">
      <w:r>
        <w:separator/>
      </w:r>
    </w:p>
  </w:footnote>
  <w:footnote w:type="continuationSeparator" w:id="0">
    <w:p w:rsidR="005C78A0" w:rsidRDefault="005C78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1CE" w:rsidRDefault="0090114F">
    <w:pPr>
      <w:pStyle w:val="Header"/>
    </w:pPr>
    <w:r w:rsidRPr="0090114F">
      <w:rPr>
        <w:noProof/>
        <w:lang w:val="hu-HU" w:eastAsia="hu-HU"/>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B471CE" w:rsidRDefault="00B471CE"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B471CE" w:rsidRPr="00721B03" w:rsidRDefault="00B471CE"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403B49">
      <w:rPr>
        <w:noProof/>
        <w:lang w:val="en-US"/>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2"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1CE" w:rsidRDefault="00B471C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4E40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F8E2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84EF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rPr>
        <w:rFonts w:cs="Times New Roman"/>
      </w:r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rPr>
        <w:rFonts w:cs="Times New Roman"/>
      </w:rPr>
    </w:lvl>
  </w:abstractNum>
  <w:abstractNum w:abstractNumId="14">
    <w:nsid w:val="44861BFD"/>
    <w:multiLevelType w:val="hybridMultilevel"/>
    <w:tmpl w:val="17F20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none"/>
      <w:lvlText w:val=""/>
      <w:lvlJc w:val="left"/>
      <w:pPr>
        <w:tabs>
          <w:tab w:val="num" w:pos="-31680"/>
        </w:tabs>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0ACA"/>
    <w:rsid w:val="00072557"/>
    <w:rsid w:val="00073957"/>
    <w:rsid w:val="00073BFF"/>
    <w:rsid w:val="00077C32"/>
    <w:rsid w:val="000812A6"/>
    <w:rsid w:val="00083607"/>
    <w:rsid w:val="00085BAD"/>
    <w:rsid w:val="00086387"/>
    <w:rsid w:val="000A0B9B"/>
    <w:rsid w:val="000A0F69"/>
    <w:rsid w:val="000A647A"/>
    <w:rsid w:val="000B2FB9"/>
    <w:rsid w:val="000B3819"/>
    <w:rsid w:val="000B4718"/>
    <w:rsid w:val="000B58AA"/>
    <w:rsid w:val="000B7A7D"/>
    <w:rsid w:val="000B7F4E"/>
    <w:rsid w:val="000C36A1"/>
    <w:rsid w:val="000C4070"/>
    <w:rsid w:val="000C716F"/>
    <w:rsid w:val="000D0D18"/>
    <w:rsid w:val="000D57C9"/>
    <w:rsid w:val="000D7CC4"/>
    <w:rsid w:val="000E6CC8"/>
    <w:rsid w:val="000E76EB"/>
    <w:rsid w:val="000F1BA2"/>
    <w:rsid w:val="000F2140"/>
    <w:rsid w:val="000F45FC"/>
    <w:rsid w:val="00104631"/>
    <w:rsid w:val="00105B9D"/>
    <w:rsid w:val="00112060"/>
    <w:rsid w:val="001120BB"/>
    <w:rsid w:val="00112693"/>
    <w:rsid w:val="00115C2B"/>
    <w:rsid w:val="0011785C"/>
    <w:rsid w:val="00124A6F"/>
    <w:rsid w:val="0012533B"/>
    <w:rsid w:val="001260F4"/>
    <w:rsid w:val="001270A2"/>
    <w:rsid w:val="00127102"/>
    <w:rsid w:val="00127104"/>
    <w:rsid w:val="00132FDD"/>
    <w:rsid w:val="00133602"/>
    <w:rsid w:val="00134DC7"/>
    <w:rsid w:val="0013600B"/>
    <w:rsid w:val="0014076B"/>
    <w:rsid w:val="00147567"/>
    <w:rsid w:val="001507D7"/>
    <w:rsid w:val="00150A5A"/>
    <w:rsid w:val="00150FCB"/>
    <w:rsid w:val="00151954"/>
    <w:rsid w:val="00151DEB"/>
    <w:rsid w:val="00152974"/>
    <w:rsid w:val="00153108"/>
    <w:rsid w:val="00155406"/>
    <w:rsid w:val="0015691A"/>
    <w:rsid w:val="00157B13"/>
    <w:rsid w:val="00162FF6"/>
    <w:rsid w:val="0016435C"/>
    <w:rsid w:val="00172B99"/>
    <w:rsid w:val="00175FAF"/>
    <w:rsid w:val="00177F91"/>
    <w:rsid w:val="00180D67"/>
    <w:rsid w:val="00182673"/>
    <w:rsid w:val="001838FE"/>
    <w:rsid w:val="00184B93"/>
    <w:rsid w:val="001907DA"/>
    <w:rsid w:val="00190821"/>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464"/>
    <w:rsid w:val="001E4F95"/>
    <w:rsid w:val="001E5F4A"/>
    <w:rsid w:val="001F0A8E"/>
    <w:rsid w:val="001F236D"/>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371D8"/>
    <w:rsid w:val="002529BB"/>
    <w:rsid w:val="00253237"/>
    <w:rsid w:val="0025373C"/>
    <w:rsid w:val="002605E0"/>
    <w:rsid w:val="0026077F"/>
    <w:rsid w:val="00260B19"/>
    <w:rsid w:val="00264534"/>
    <w:rsid w:val="00265996"/>
    <w:rsid w:val="00276DA6"/>
    <w:rsid w:val="00281A82"/>
    <w:rsid w:val="00282854"/>
    <w:rsid w:val="00285BF3"/>
    <w:rsid w:val="002923B9"/>
    <w:rsid w:val="00293ABA"/>
    <w:rsid w:val="00293DE9"/>
    <w:rsid w:val="00294042"/>
    <w:rsid w:val="002949F4"/>
    <w:rsid w:val="002977F3"/>
    <w:rsid w:val="002A0221"/>
    <w:rsid w:val="002A15B2"/>
    <w:rsid w:val="002A2C96"/>
    <w:rsid w:val="002A7776"/>
    <w:rsid w:val="002B1929"/>
    <w:rsid w:val="002B51CA"/>
    <w:rsid w:val="002B71A8"/>
    <w:rsid w:val="002C06ED"/>
    <w:rsid w:val="002C25FA"/>
    <w:rsid w:val="002C2CBC"/>
    <w:rsid w:val="002C4473"/>
    <w:rsid w:val="002C780D"/>
    <w:rsid w:val="002C7F41"/>
    <w:rsid w:val="002D1443"/>
    <w:rsid w:val="002D2B1E"/>
    <w:rsid w:val="002D3185"/>
    <w:rsid w:val="002D5B13"/>
    <w:rsid w:val="002E0490"/>
    <w:rsid w:val="002E20E5"/>
    <w:rsid w:val="002E529A"/>
    <w:rsid w:val="002E619E"/>
    <w:rsid w:val="002F1D75"/>
    <w:rsid w:val="002F474E"/>
    <w:rsid w:val="002F4B38"/>
    <w:rsid w:val="002F713F"/>
    <w:rsid w:val="00303833"/>
    <w:rsid w:val="00304555"/>
    <w:rsid w:val="00304A46"/>
    <w:rsid w:val="003052B2"/>
    <w:rsid w:val="0030699A"/>
    <w:rsid w:val="00322B33"/>
    <w:rsid w:val="00323CDB"/>
    <w:rsid w:val="003253E2"/>
    <w:rsid w:val="00330C8C"/>
    <w:rsid w:val="0033156D"/>
    <w:rsid w:val="003351B4"/>
    <w:rsid w:val="00337519"/>
    <w:rsid w:val="00337872"/>
    <w:rsid w:val="00344591"/>
    <w:rsid w:val="00351255"/>
    <w:rsid w:val="00351563"/>
    <w:rsid w:val="003526D5"/>
    <w:rsid w:val="00352B1D"/>
    <w:rsid w:val="00352D76"/>
    <w:rsid w:val="00353B5C"/>
    <w:rsid w:val="0035504D"/>
    <w:rsid w:val="00355DDC"/>
    <w:rsid w:val="00362CD8"/>
    <w:rsid w:val="00362D4C"/>
    <w:rsid w:val="00371DBA"/>
    <w:rsid w:val="00373AFF"/>
    <w:rsid w:val="0037440D"/>
    <w:rsid w:val="00376B51"/>
    <w:rsid w:val="00383954"/>
    <w:rsid w:val="00384F28"/>
    <w:rsid w:val="003860B2"/>
    <w:rsid w:val="00387177"/>
    <w:rsid w:val="00391559"/>
    <w:rsid w:val="00391CD5"/>
    <w:rsid w:val="0039373B"/>
    <w:rsid w:val="00396D72"/>
    <w:rsid w:val="00397CB9"/>
    <w:rsid w:val="003A016A"/>
    <w:rsid w:val="003A056E"/>
    <w:rsid w:val="003A27BC"/>
    <w:rsid w:val="003A2F36"/>
    <w:rsid w:val="003A6832"/>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36CB"/>
    <w:rsid w:val="003F6066"/>
    <w:rsid w:val="00401DDB"/>
    <w:rsid w:val="004024D3"/>
    <w:rsid w:val="00402955"/>
    <w:rsid w:val="00403B49"/>
    <w:rsid w:val="004043C4"/>
    <w:rsid w:val="004047DE"/>
    <w:rsid w:val="00404925"/>
    <w:rsid w:val="004054C3"/>
    <w:rsid w:val="0040760B"/>
    <w:rsid w:val="00410A29"/>
    <w:rsid w:val="004122A0"/>
    <w:rsid w:val="00412C19"/>
    <w:rsid w:val="004173E4"/>
    <w:rsid w:val="004177FC"/>
    <w:rsid w:val="00422212"/>
    <w:rsid w:val="0042391C"/>
    <w:rsid w:val="0042502E"/>
    <w:rsid w:val="00433090"/>
    <w:rsid w:val="004353CB"/>
    <w:rsid w:val="0044029A"/>
    <w:rsid w:val="00442F0E"/>
    <w:rsid w:val="00445A8A"/>
    <w:rsid w:val="0044604E"/>
    <w:rsid w:val="00447210"/>
    <w:rsid w:val="00454825"/>
    <w:rsid w:val="00456E90"/>
    <w:rsid w:val="004604F3"/>
    <w:rsid w:val="0046572E"/>
    <w:rsid w:val="00467598"/>
    <w:rsid w:val="00470A8B"/>
    <w:rsid w:val="0047163F"/>
    <w:rsid w:val="00472744"/>
    <w:rsid w:val="00473131"/>
    <w:rsid w:val="00475DCB"/>
    <w:rsid w:val="004778EB"/>
    <w:rsid w:val="00477CEB"/>
    <w:rsid w:val="0048039B"/>
    <w:rsid w:val="004854D1"/>
    <w:rsid w:val="00485672"/>
    <w:rsid w:val="004900DF"/>
    <w:rsid w:val="004933BE"/>
    <w:rsid w:val="004A004F"/>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391C"/>
    <w:rsid w:val="004E39BD"/>
    <w:rsid w:val="004E3B1D"/>
    <w:rsid w:val="004F0F17"/>
    <w:rsid w:val="004F26B8"/>
    <w:rsid w:val="004F4013"/>
    <w:rsid w:val="004F6946"/>
    <w:rsid w:val="005023B0"/>
    <w:rsid w:val="00502D0D"/>
    <w:rsid w:val="00502E0A"/>
    <w:rsid w:val="00505959"/>
    <w:rsid w:val="005070C8"/>
    <w:rsid w:val="00511059"/>
    <w:rsid w:val="005131EA"/>
    <w:rsid w:val="005216B0"/>
    <w:rsid w:val="00524215"/>
    <w:rsid w:val="00526E5A"/>
    <w:rsid w:val="005322AA"/>
    <w:rsid w:val="00541834"/>
    <w:rsid w:val="0054220D"/>
    <w:rsid w:val="005423A5"/>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DFC"/>
    <w:rsid w:val="005B3722"/>
    <w:rsid w:val="005C108D"/>
    <w:rsid w:val="005C58DE"/>
    <w:rsid w:val="005C6D17"/>
    <w:rsid w:val="005C78A0"/>
    <w:rsid w:val="005D0C21"/>
    <w:rsid w:val="005D1921"/>
    <w:rsid w:val="005D2D0B"/>
    <w:rsid w:val="005D53EE"/>
    <w:rsid w:val="005D621D"/>
    <w:rsid w:val="005D78FE"/>
    <w:rsid w:val="005E463C"/>
    <w:rsid w:val="005E4E4C"/>
    <w:rsid w:val="005E6290"/>
    <w:rsid w:val="005F24DD"/>
    <w:rsid w:val="005F7BDC"/>
    <w:rsid w:val="0060091E"/>
    <w:rsid w:val="00610DAB"/>
    <w:rsid w:val="0061660C"/>
    <w:rsid w:val="00616DE9"/>
    <w:rsid w:val="0061757F"/>
    <w:rsid w:val="00632676"/>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5F2"/>
    <w:rsid w:val="00695762"/>
    <w:rsid w:val="006A17A6"/>
    <w:rsid w:val="006A30AF"/>
    <w:rsid w:val="006A3291"/>
    <w:rsid w:val="006A5610"/>
    <w:rsid w:val="006A5F96"/>
    <w:rsid w:val="006A7FE2"/>
    <w:rsid w:val="006B48FD"/>
    <w:rsid w:val="006B59A1"/>
    <w:rsid w:val="006C0AA9"/>
    <w:rsid w:val="006C481B"/>
    <w:rsid w:val="006C50E8"/>
    <w:rsid w:val="006D18CA"/>
    <w:rsid w:val="006D26C2"/>
    <w:rsid w:val="006D3D3E"/>
    <w:rsid w:val="006D4D0B"/>
    <w:rsid w:val="006D5157"/>
    <w:rsid w:val="006D5350"/>
    <w:rsid w:val="006D6890"/>
    <w:rsid w:val="006E1A6B"/>
    <w:rsid w:val="006E4366"/>
    <w:rsid w:val="006E5E38"/>
    <w:rsid w:val="006E618B"/>
    <w:rsid w:val="006F0BC4"/>
    <w:rsid w:val="006F222E"/>
    <w:rsid w:val="006F3FDF"/>
    <w:rsid w:val="006F49F1"/>
    <w:rsid w:val="006F4E16"/>
    <w:rsid w:val="00702CB8"/>
    <w:rsid w:val="00707885"/>
    <w:rsid w:val="0071023A"/>
    <w:rsid w:val="007107A7"/>
    <w:rsid w:val="007119D4"/>
    <w:rsid w:val="00712430"/>
    <w:rsid w:val="007153BD"/>
    <w:rsid w:val="00716E65"/>
    <w:rsid w:val="007172A4"/>
    <w:rsid w:val="00721B03"/>
    <w:rsid w:val="007244F6"/>
    <w:rsid w:val="00724928"/>
    <w:rsid w:val="00725832"/>
    <w:rsid w:val="00726D46"/>
    <w:rsid w:val="00732C90"/>
    <w:rsid w:val="007370BC"/>
    <w:rsid w:val="007375D5"/>
    <w:rsid w:val="007423B2"/>
    <w:rsid w:val="007456E2"/>
    <w:rsid w:val="00747707"/>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D7957"/>
    <w:rsid w:val="007E2555"/>
    <w:rsid w:val="007E3756"/>
    <w:rsid w:val="007F16DF"/>
    <w:rsid w:val="007F2A06"/>
    <w:rsid w:val="007F3142"/>
    <w:rsid w:val="007F4ADD"/>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1839"/>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6322"/>
    <w:rsid w:val="008F7203"/>
    <w:rsid w:val="0090114F"/>
    <w:rsid w:val="00905001"/>
    <w:rsid w:val="00906A2B"/>
    <w:rsid w:val="00906C7D"/>
    <w:rsid w:val="009116A2"/>
    <w:rsid w:val="00911A6A"/>
    <w:rsid w:val="0091343C"/>
    <w:rsid w:val="00913874"/>
    <w:rsid w:val="00921D38"/>
    <w:rsid w:val="00922E59"/>
    <w:rsid w:val="0092562C"/>
    <w:rsid w:val="00927D4F"/>
    <w:rsid w:val="00931A61"/>
    <w:rsid w:val="0093778A"/>
    <w:rsid w:val="0094059F"/>
    <w:rsid w:val="00940DA9"/>
    <w:rsid w:val="00943F1C"/>
    <w:rsid w:val="00946375"/>
    <w:rsid w:val="00951B33"/>
    <w:rsid w:val="00952C12"/>
    <w:rsid w:val="009540EB"/>
    <w:rsid w:val="009607D7"/>
    <w:rsid w:val="00971C9B"/>
    <w:rsid w:val="009727D3"/>
    <w:rsid w:val="009729A4"/>
    <w:rsid w:val="00973416"/>
    <w:rsid w:val="00974016"/>
    <w:rsid w:val="00974649"/>
    <w:rsid w:val="00977AED"/>
    <w:rsid w:val="00983AB6"/>
    <w:rsid w:val="00986D91"/>
    <w:rsid w:val="0099613A"/>
    <w:rsid w:val="00997518"/>
    <w:rsid w:val="009A379F"/>
    <w:rsid w:val="009A768F"/>
    <w:rsid w:val="009A77C2"/>
    <w:rsid w:val="009A7921"/>
    <w:rsid w:val="009B2BE6"/>
    <w:rsid w:val="009B4050"/>
    <w:rsid w:val="009B592C"/>
    <w:rsid w:val="009C0409"/>
    <w:rsid w:val="009C12E9"/>
    <w:rsid w:val="009C729F"/>
    <w:rsid w:val="009C7E22"/>
    <w:rsid w:val="009D1667"/>
    <w:rsid w:val="009D1D06"/>
    <w:rsid w:val="009D22EC"/>
    <w:rsid w:val="009D2E8A"/>
    <w:rsid w:val="009D3B18"/>
    <w:rsid w:val="009D3F39"/>
    <w:rsid w:val="009D457D"/>
    <w:rsid w:val="009D5AAD"/>
    <w:rsid w:val="009D5CBF"/>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12916"/>
    <w:rsid w:val="00A13750"/>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1A5D"/>
    <w:rsid w:val="00A55855"/>
    <w:rsid w:val="00A61620"/>
    <w:rsid w:val="00A62876"/>
    <w:rsid w:val="00A7369A"/>
    <w:rsid w:val="00A73F5F"/>
    <w:rsid w:val="00A76236"/>
    <w:rsid w:val="00A76F72"/>
    <w:rsid w:val="00A91FBB"/>
    <w:rsid w:val="00A9486C"/>
    <w:rsid w:val="00A967C7"/>
    <w:rsid w:val="00A9708D"/>
    <w:rsid w:val="00AA0DCF"/>
    <w:rsid w:val="00AA2C67"/>
    <w:rsid w:val="00AA4160"/>
    <w:rsid w:val="00AA4952"/>
    <w:rsid w:val="00AA5486"/>
    <w:rsid w:val="00AB0F46"/>
    <w:rsid w:val="00AB16F9"/>
    <w:rsid w:val="00AB23D7"/>
    <w:rsid w:val="00AB243A"/>
    <w:rsid w:val="00AB5243"/>
    <w:rsid w:val="00AB5BB9"/>
    <w:rsid w:val="00AB6431"/>
    <w:rsid w:val="00AC3144"/>
    <w:rsid w:val="00AC52D7"/>
    <w:rsid w:val="00AC7369"/>
    <w:rsid w:val="00AD1095"/>
    <w:rsid w:val="00AD56F2"/>
    <w:rsid w:val="00AD5E29"/>
    <w:rsid w:val="00AD6766"/>
    <w:rsid w:val="00AE16F5"/>
    <w:rsid w:val="00AE7F5D"/>
    <w:rsid w:val="00AF0B72"/>
    <w:rsid w:val="00AF1C0F"/>
    <w:rsid w:val="00AF35C2"/>
    <w:rsid w:val="00AF42C2"/>
    <w:rsid w:val="00AF42DC"/>
    <w:rsid w:val="00AF47EF"/>
    <w:rsid w:val="00AF4EF8"/>
    <w:rsid w:val="00AF61D7"/>
    <w:rsid w:val="00AF6A34"/>
    <w:rsid w:val="00B04642"/>
    <w:rsid w:val="00B06874"/>
    <w:rsid w:val="00B07EAE"/>
    <w:rsid w:val="00B1075F"/>
    <w:rsid w:val="00B111E1"/>
    <w:rsid w:val="00B135A2"/>
    <w:rsid w:val="00B13697"/>
    <w:rsid w:val="00B2763C"/>
    <w:rsid w:val="00B27F58"/>
    <w:rsid w:val="00B30A4B"/>
    <w:rsid w:val="00B31866"/>
    <w:rsid w:val="00B3257D"/>
    <w:rsid w:val="00B328F8"/>
    <w:rsid w:val="00B43B1B"/>
    <w:rsid w:val="00B45029"/>
    <w:rsid w:val="00B45B3F"/>
    <w:rsid w:val="00B45E45"/>
    <w:rsid w:val="00B471CE"/>
    <w:rsid w:val="00B472A4"/>
    <w:rsid w:val="00B47314"/>
    <w:rsid w:val="00B47B1B"/>
    <w:rsid w:val="00B47EEE"/>
    <w:rsid w:val="00B51A9A"/>
    <w:rsid w:val="00B54542"/>
    <w:rsid w:val="00B55DC5"/>
    <w:rsid w:val="00B57F87"/>
    <w:rsid w:val="00B57FCF"/>
    <w:rsid w:val="00B601F1"/>
    <w:rsid w:val="00B6026B"/>
    <w:rsid w:val="00B61D5A"/>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A0B"/>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3686"/>
    <w:rsid w:val="00C04A1F"/>
    <w:rsid w:val="00C04A31"/>
    <w:rsid w:val="00C04A5B"/>
    <w:rsid w:val="00C0554A"/>
    <w:rsid w:val="00C11D58"/>
    <w:rsid w:val="00C13A33"/>
    <w:rsid w:val="00C1408A"/>
    <w:rsid w:val="00C160A4"/>
    <w:rsid w:val="00C1675D"/>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57F8"/>
    <w:rsid w:val="00C76A20"/>
    <w:rsid w:val="00C77C7E"/>
    <w:rsid w:val="00C77D2A"/>
    <w:rsid w:val="00C809FF"/>
    <w:rsid w:val="00C86C99"/>
    <w:rsid w:val="00C9536C"/>
    <w:rsid w:val="00C9580A"/>
    <w:rsid w:val="00C9704F"/>
    <w:rsid w:val="00C976C9"/>
    <w:rsid w:val="00CA207A"/>
    <w:rsid w:val="00CA3C33"/>
    <w:rsid w:val="00CA4369"/>
    <w:rsid w:val="00CA6420"/>
    <w:rsid w:val="00CA6583"/>
    <w:rsid w:val="00CB28C9"/>
    <w:rsid w:val="00CB672B"/>
    <w:rsid w:val="00CB7211"/>
    <w:rsid w:val="00CC1A98"/>
    <w:rsid w:val="00CC6723"/>
    <w:rsid w:val="00CC7EC5"/>
    <w:rsid w:val="00CD45BE"/>
    <w:rsid w:val="00CD642B"/>
    <w:rsid w:val="00CD6A77"/>
    <w:rsid w:val="00CD6FEB"/>
    <w:rsid w:val="00CE4087"/>
    <w:rsid w:val="00CE61D3"/>
    <w:rsid w:val="00CE67DD"/>
    <w:rsid w:val="00CF4683"/>
    <w:rsid w:val="00CF5258"/>
    <w:rsid w:val="00CF7148"/>
    <w:rsid w:val="00D007DE"/>
    <w:rsid w:val="00D01B6F"/>
    <w:rsid w:val="00D01EF1"/>
    <w:rsid w:val="00D0245E"/>
    <w:rsid w:val="00D0259D"/>
    <w:rsid w:val="00D03DB3"/>
    <w:rsid w:val="00D047DC"/>
    <w:rsid w:val="00D04DA5"/>
    <w:rsid w:val="00D05AFF"/>
    <w:rsid w:val="00D06C03"/>
    <w:rsid w:val="00D10A4C"/>
    <w:rsid w:val="00D10E2C"/>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4F5F"/>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14C7"/>
    <w:rsid w:val="00DD5DDA"/>
    <w:rsid w:val="00DE0D99"/>
    <w:rsid w:val="00DE584B"/>
    <w:rsid w:val="00DF22D8"/>
    <w:rsid w:val="00DF76E3"/>
    <w:rsid w:val="00E02024"/>
    <w:rsid w:val="00E03013"/>
    <w:rsid w:val="00E03104"/>
    <w:rsid w:val="00E03ABA"/>
    <w:rsid w:val="00E04EC2"/>
    <w:rsid w:val="00E066AA"/>
    <w:rsid w:val="00E07FE5"/>
    <w:rsid w:val="00E10213"/>
    <w:rsid w:val="00E108F5"/>
    <w:rsid w:val="00E11808"/>
    <w:rsid w:val="00E11F16"/>
    <w:rsid w:val="00E13BE2"/>
    <w:rsid w:val="00E20BC8"/>
    <w:rsid w:val="00E21E7C"/>
    <w:rsid w:val="00E27072"/>
    <w:rsid w:val="00E32184"/>
    <w:rsid w:val="00E32185"/>
    <w:rsid w:val="00E32FB2"/>
    <w:rsid w:val="00E34406"/>
    <w:rsid w:val="00E35F66"/>
    <w:rsid w:val="00E41CDE"/>
    <w:rsid w:val="00E42BB9"/>
    <w:rsid w:val="00E443A6"/>
    <w:rsid w:val="00E45A26"/>
    <w:rsid w:val="00E46C40"/>
    <w:rsid w:val="00E479A3"/>
    <w:rsid w:val="00E47D48"/>
    <w:rsid w:val="00E502EA"/>
    <w:rsid w:val="00E52669"/>
    <w:rsid w:val="00E53823"/>
    <w:rsid w:val="00E53C01"/>
    <w:rsid w:val="00E53F60"/>
    <w:rsid w:val="00E544A0"/>
    <w:rsid w:val="00E545B2"/>
    <w:rsid w:val="00E56AAD"/>
    <w:rsid w:val="00E576B9"/>
    <w:rsid w:val="00E57FE0"/>
    <w:rsid w:val="00E613A3"/>
    <w:rsid w:val="00E621AC"/>
    <w:rsid w:val="00E6468A"/>
    <w:rsid w:val="00E701B2"/>
    <w:rsid w:val="00E709E6"/>
    <w:rsid w:val="00E70AEC"/>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5570"/>
    <w:rsid w:val="00EB6387"/>
    <w:rsid w:val="00EB7D50"/>
    <w:rsid w:val="00EC4562"/>
    <w:rsid w:val="00EC6878"/>
    <w:rsid w:val="00ED077F"/>
    <w:rsid w:val="00ED082B"/>
    <w:rsid w:val="00ED236B"/>
    <w:rsid w:val="00ED58B7"/>
    <w:rsid w:val="00ED5923"/>
    <w:rsid w:val="00EE082D"/>
    <w:rsid w:val="00EE2B02"/>
    <w:rsid w:val="00EE31B3"/>
    <w:rsid w:val="00EE392C"/>
    <w:rsid w:val="00EF11A3"/>
    <w:rsid w:val="00EF6DEE"/>
    <w:rsid w:val="00F023B8"/>
    <w:rsid w:val="00F10068"/>
    <w:rsid w:val="00F11DC3"/>
    <w:rsid w:val="00F158C5"/>
    <w:rsid w:val="00F16E7F"/>
    <w:rsid w:val="00F20E21"/>
    <w:rsid w:val="00F212C3"/>
    <w:rsid w:val="00F252AD"/>
    <w:rsid w:val="00F30797"/>
    <w:rsid w:val="00F320EF"/>
    <w:rsid w:val="00F3218A"/>
    <w:rsid w:val="00F34787"/>
    <w:rsid w:val="00F358CB"/>
    <w:rsid w:val="00F405D2"/>
    <w:rsid w:val="00F47743"/>
    <w:rsid w:val="00F519FB"/>
    <w:rsid w:val="00F54E2D"/>
    <w:rsid w:val="00F57119"/>
    <w:rsid w:val="00F60CB5"/>
    <w:rsid w:val="00F70635"/>
    <w:rsid w:val="00F738B9"/>
    <w:rsid w:val="00F74241"/>
    <w:rsid w:val="00F77867"/>
    <w:rsid w:val="00F77A11"/>
    <w:rsid w:val="00F77AD1"/>
    <w:rsid w:val="00F804D1"/>
    <w:rsid w:val="00F81275"/>
    <w:rsid w:val="00F8766A"/>
    <w:rsid w:val="00F91CEC"/>
    <w:rsid w:val="00F92391"/>
    <w:rsid w:val="00FA0267"/>
    <w:rsid w:val="00FA0724"/>
    <w:rsid w:val="00FA1FBB"/>
    <w:rsid w:val="00FB3AD9"/>
    <w:rsid w:val="00FB783A"/>
    <w:rsid w:val="00FC08B7"/>
    <w:rsid w:val="00FC2270"/>
    <w:rsid w:val="00FC5035"/>
    <w:rsid w:val="00FC6A8F"/>
    <w:rsid w:val="00FD413B"/>
    <w:rsid w:val="00FD4E3A"/>
    <w:rsid w:val="00FD54FE"/>
    <w:rsid w:val="00FD6260"/>
    <w:rsid w:val="00FD70D0"/>
    <w:rsid w:val="00FE7D95"/>
    <w:rsid w:val="00FF56E3"/>
    <w:rsid w:val="00FF68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locked/>
    <w:rsid w:val="006F3FDF"/>
    <w:rPr>
      <w:rFonts w:ascii="Verdana" w:hAnsi="Verdana" w:cs="Times New Roman"/>
      <w:sz w:val="24"/>
      <w:szCs w:val="24"/>
      <w:lang w:val="en-GB"/>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940DA9"/>
    <w:rPr>
      <w:rFonts w:ascii="Verdana" w:hAnsi="Verdana" w:cs="Times New Roman"/>
      <w:sz w:val="24"/>
      <w:szCs w:val="24"/>
      <w:lang w:val="en-GB"/>
    </w:rPr>
  </w:style>
  <w:style w:type="table" w:styleId="TableGrid">
    <w:name w:val="Table Grid"/>
    <w:basedOn w:val="TableNormal"/>
    <w:uiPriority w:val="99"/>
    <w:rsid w:val="00940DA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40DA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0DA9"/>
    <w:rPr>
      <w:rFonts w:ascii="Tahoma" w:hAnsi="Tahoma" w:cs="Tahoma"/>
      <w:sz w:val="16"/>
      <w:szCs w:val="16"/>
      <w:lang w:val="en-GB"/>
    </w:rPr>
  </w:style>
  <w:style w:type="character" w:styleId="FootnoteReference">
    <w:name w:val="footnote reference"/>
    <w:basedOn w:val="DefaultParagraphFont"/>
    <w:uiPriority w:val="99"/>
    <w:semiHidden/>
    <w:rsid w:val="00940DA9"/>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940DA9"/>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940DA9"/>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uiPriority w:val="99"/>
    <w:rsid w:val="004933BE"/>
    <w:rPr>
      <w:rFonts w:cs="Times New Roman"/>
      <w:sz w:val="16"/>
      <w:szCs w:val="16"/>
    </w:rPr>
  </w:style>
  <w:style w:type="paragraph" w:styleId="CommentText">
    <w:name w:val="annotation text"/>
    <w:basedOn w:val="Normal"/>
    <w:link w:val="CommentTextChar"/>
    <w:uiPriority w:val="99"/>
    <w:rsid w:val="004933BE"/>
    <w:pPr>
      <w:spacing w:line="240" w:lineRule="auto"/>
    </w:pPr>
    <w:rPr>
      <w:szCs w:val="20"/>
    </w:rPr>
  </w:style>
  <w:style w:type="character" w:customStyle="1" w:styleId="CommentTextChar">
    <w:name w:val="Comment Text Char"/>
    <w:basedOn w:val="DefaultParagraphFont"/>
    <w:link w:val="CommentText"/>
    <w:uiPriority w:val="99"/>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b/>
      <w:bCs/>
    </w:rPr>
  </w:style>
  <w:style w:type="paragraph" w:customStyle="1" w:styleId="Default">
    <w:name w:val="Default"/>
    <w:uiPriority w:val="99"/>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webSettings.xml><?xml version="1.0" encoding="utf-8"?>
<w:webSettings xmlns:r="http://schemas.openxmlformats.org/officeDocument/2006/relationships" xmlns:w="http://schemas.openxmlformats.org/wordprocessingml/2006/main">
  <w:divs>
    <w:div w:id="478225746">
      <w:bodyDiv w:val="1"/>
      <w:marLeft w:val="0"/>
      <w:marRight w:val="0"/>
      <w:marTop w:val="0"/>
      <w:marBottom w:val="0"/>
      <w:divBdr>
        <w:top w:val="none" w:sz="0" w:space="0" w:color="auto"/>
        <w:left w:val="none" w:sz="0" w:space="0" w:color="auto"/>
        <w:bottom w:val="none" w:sz="0" w:space="0" w:color="auto"/>
        <w:right w:val="none" w:sz="0" w:space="0" w:color="auto"/>
      </w:divBdr>
    </w:div>
    <w:div w:id="583270916">
      <w:bodyDiv w:val="1"/>
      <w:marLeft w:val="0"/>
      <w:marRight w:val="0"/>
      <w:marTop w:val="0"/>
      <w:marBottom w:val="0"/>
      <w:divBdr>
        <w:top w:val="none" w:sz="0" w:space="0" w:color="auto"/>
        <w:left w:val="none" w:sz="0" w:space="0" w:color="auto"/>
        <w:bottom w:val="none" w:sz="0" w:space="0" w:color="auto"/>
        <w:right w:val="none" w:sz="0" w:space="0" w:color="auto"/>
      </w:divBdr>
    </w:div>
    <w:div w:id="757673928">
      <w:bodyDiv w:val="1"/>
      <w:marLeft w:val="0"/>
      <w:marRight w:val="0"/>
      <w:marTop w:val="0"/>
      <w:marBottom w:val="0"/>
      <w:divBdr>
        <w:top w:val="none" w:sz="0" w:space="0" w:color="auto"/>
        <w:left w:val="none" w:sz="0" w:space="0" w:color="auto"/>
        <w:bottom w:val="none" w:sz="0" w:space="0" w:color="auto"/>
        <w:right w:val="none" w:sz="0" w:space="0" w:color="auto"/>
      </w:divBdr>
    </w:div>
    <w:div w:id="1373579708">
      <w:marLeft w:val="0"/>
      <w:marRight w:val="0"/>
      <w:marTop w:val="0"/>
      <w:marBottom w:val="0"/>
      <w:divBdr>
        <w:top w:val="none" w:sz="0" w:space="0" w:color="auto"/>
        <w:left w:val="none" w:sz="0" w:space="0" w:color="auto"/>
        <w:bottom w:val="none" w:sz="0" w:space="0" w:color="auto"/>
        <w:right w:val="none" w:sz="0" w:space="0" w:color="auto"/>
      </w:divBdr>
    </w:div>
    <w:div w:id="1373579709">
      <w:marLeft w:val="0"/>
      <w:marRight w:val="0"/>
      <w:marTop w:val="0"/>
      <w:marBottom w:val="0"/>
      <w:divBdr>
        <w:top w:val="none" w:sz="0" w:space="0" w:color="auto"/>
        <w:left w:val="none" w:sz="0" w:space="0" w:color="auto"/>
        <w:bottom w:val="none" w:sz="0" w:space="0" w:color="auto"/>
        <w:right w:val="none" w:sz="0" w:space="0" w:color="auto"/>
      </w:divBdr>
    </w:div>
    <w:div w:id="1373579710">
      <w:marLeft w:val="0"/>
      <w:marRight w:val="0"/>
      <w:marTop w:val="0"/>
      <w:marBottom w:val="0"/>
      <w:divBdr>
        <w:top w:val="none" w:sz="0" w:space="0" w:color="auto"/>
        <w:left w:val="none" w:sz="0" w:space="0" w:color="auto"/>
        <w:bottom w:val="none" w:sz="0" w:space="0" w:color="auto"/>
        <w:right w:val="none" w:sz="0" w:space="0" w:color="auto"/>
      </w:divBdr>
    </w:div>
    <w:div w:id="1373579713">
      <w:marLeft w:val="0"/>
      <w:marRight w:val="0"/>
      <w:marTop w:val="0"/>
      <w:marBottom w:val="0"/>
      <w:divBdr>
        <w:top w:val="none" w:sz="0" w:space="0" w:color="auto"/>
        <w:left w:val="none" w:sz="0" w:space="0" w:color="auto"/>
        <w:bottom w:val="none" w:sz="0" w:space="0" w:color="auto"/>
        <w:right w:val="none" w:sz="0" w:space="0" w:color="auto"/>
      </w:divBdr>
      <w:divsChild>
        <w:div w:id="1373579707">
          <w:marLeft w:val="1123"/>
          <w:marRight w:val="0"/>
          <w:marTop w:val="0"/>
          <w:marBottom w:val="0"/>
          <w:divBdr>
            <w:top w:val="none" w:sz="0" w:space="0" w:color="auto"/>
            <w:left w:val="none" w:sz="0" w:space="0" w:color="auto"/>
            <w:bottom w:val="none" w:sz="0" w:space="0" w:color="auto"/>
            <w:right w:val="none" w:sz="0" w:space="0" w:color="auto"/>
          </w:divBdr>
        </w:div>
        <w:div w:id="1373579711">
          <w:marLeft w:val="1123"/>
          <w:marRight w:val="0"/>
          <w:marTop w:val="0"/>
          <w:marBottom w:val="0"/>
          <w:divBdr>
            <w:top w:val="none" w:sz="0" w:space="0" w:color="auto"/>
            <w:left w:val="none" w:sz="0" w:space="0" w:color="auto"/>
            <w:bottom w:val="none" w:sz="0" w:space="0" w:color="auto"/>
            <w:right w:val="none" w:sz="0" w:space="0" w:color="auto"/>
          </w:divBdr>
        </w:div>
        <w:div w:id="1373579712">
          <w:marLeft w:val="1123"/>
          <w:marRight w:val="0"/>
          <w:marTop w:val="0"/>
          <w:marBottom w:val="0"/>
          <w:divBdr>
            <w:top w:val="none" w:sz="0" w:space="0" w:color="auto"/>
            <w:left w:val="none" w:sz="0" w:space="0" w:color="auto"/>
            <w:bottom w:val="none" w:sz="0" w:space="0" w:color="auto"/>
            <w:right w:val="none" w:sz="0" w:space="0" w:color="auto"/>
          </w:divBdr>
        </w:div>
        <w:div w:id="1373579717">
          <w:marLeft w:val="1123"/>
          <w:marRight w:val="0"/>
          <w:marTop w:val="0"/>
          <w:marBottom w:val="0"/>
          <w:divBdr>
            <w:top w:val="none" w:sz="0" w:space="0" w:color="auto"/>
            <w:left w:val="none" w:sz="0" w:space="0" w:color="auto"/>
            <w:bottom w:val="none" w:sz="0" w:space="0" w:color="auto"/>
            <w:right w:val="none" w:sz="0" w:space="0" w:color="auto"/>
          </w:divBdr>
        </w:div>
        <w:div w:id="1373579720">
          <w:marLeft w:val="1123"/>
          <w:marRight w:val="0"/>
          <w:marTop w:val="0"/>
          <w:marBottom w:val="0"/>
          <w:divBdr>
            <w:top w:val="none" w:sz="0" w:space="0" w:color="auto"/>
            <w:left w:val="none" w:sz="0" w:space="0" w:color="auto"/>
            <w:bottom w:val="none" w:sz="0" w:space="0" w:color="auto"/>
            <w:right w:val="none" w:sz="0" w:space="0" w:color="auto"/>
          </w:divBdr>
        </w:div>
        <w:div w:id="1373579723">
          <w:marLeft w:val="1123"/>
          <w:marRight w:val="0"/>
          <w:marTop w:val="0"/>
          <w:marBottom w:val="0"/>
          <w:divBdr>
            <w:top w:val="none" w:sz="0" w:space="0" w:color="auto"/>
            <w:left w:val="none" w:sz="0" w:space="0" w:color="auto"/>
            <w:bottom w:val="none" w:sz="0" w:space="0" w:color="auto"/>
            <w:right w:val="none" w:sz="0" w:space="0" w:color="auto"/>
          </w:divBdr>
        </w:div>
        <w:div w:id="1373579724">
          <w:marLeft w:val="1123"/>
          <w:marRight w:val="0"/>
          <w:marTop w:val="0"/>
          <w:marBottom w:val="0"/>
          <w:divBdr>
            <w:top w:val="none" w:sz="0" w:space="0" w:color="auto"/>
            <w:left w:val="none" w:sz="0" w:space="0" w:color="auto"/>
            <w:bottom w:val="none" w:sz="0" w:space="0" w:color="auto"/>
            <w:right w:val="none" w:sz="0" w:space="0" w:color="auto"/>
          </w:divBdr>
        </w:div>
      </w:divsChild>
    </w:div>
    <w:div w:id="1373579714">
      <w:marLeft w:val="0"/>
      <w:marRight w:val="0"/>
      <w:marTop w:val="0"/>
      <w:marBottom w:val="0"/>
      <w:divBdr>
        <w:top w:val="none" w:sz="0" w:space="0" w:color="auto"/>
        <w:left w:val="none" w:sz="0" w:space="0" w:color="auto"/>
        <w:bottom w:val="none" w:sz="0" w:space="0" w:color="auto"/>
        <w:right w:val="none" w:sz="0" w:space="0" w:color="auto"/>
      </w:divBdr>
    </w:div>
    <w:div w:id="1373579715">
      <w:marLeft w:val="0"/>
      <w:marRight w:val="0"/>
      <w:marTop w:val="0"/>
      <w:marBottom w:val="0"/>
      <w:divBdr>
        <w:top w:val="none" w:sz="0" w:space="0" w:color="auto"/>
        <w:left w:val="none" w:sz="0" w:space="0" w:color="auto"/>
        <w:bottom w:val="none" w:sz="0" w:space="0" w:color="auto"/>
        <w:right w:val="none" w:sz="0" w:space="0" w:color="auto"/>
      </w:divBdr>
    </w:div>
    <w:div w:id="1373579716">
      <w:marLeft w:val="0"/>
      <w:marRight w:val="0"/>
      <w:marTop w:val="0"/>
      <w:marBottom w:val="0"/>
      <w:divBdr>
        <w:top w:val="none" w:sz="0" w:space="0" w:color="auto"/>
        <w:left w:val="none" w:sz="0" w:space="0" w:color="auto"/>
        <w:bottom w:val="none" w:sz="0" w:space="0" w:color="auto"/>
        <w:right w:val="none" w:sz="0" w:space="0" w:color="auto"/>
      </w:divBdr>
    </w:div>
    <w:div w:id="1373579718">
      <w:marLeft w:val="0"/>
      <w:marRight w:val="0"/>
      <w:marTop w:val="0"/>
      <w:marBottom w:val="0"/>
      <w:divBdr>
        <w:top w:val="none" w:sz="0" w:space="0" w:color="auto"/>
        <w:left w:val="none" w:sz="0" w:space="0" w:color="auto"/>
        <w:bottom w:val="none" w:sz="0" w:space="0" w:color="auto"/>
        <w:right w:val="none" w:sz="0" w:space="0" w:color="auto"/>
      </w:divBdr>
    </w:div>
    <w:div w:id="1373579719">
      <w:marLeft w:val="0"/>
      <w:marRight w:val="0"/>
      <w:marTop w:val="0"/>
      <w:marBottom w:val="0"/>
      <w:divBdr>
        <w:top w:val="none" w:sz="0" w:space="0" w:color="auto"/>
        <w:left w:val="none" w:sz="0" w:space="0" w:color="auto"/>
        <w:bottom w:val="none" w:sz="0" w:space="0" w:color="auto"/>
        <w:right w:val="none" w:sz="0" w:space="0" w:color="auto"/>
      </w:divBdr>
    </w:div>
    <w:div w:id="1373579721">
      <w:marLeft w:val="0"/>
      <w:marRight w:val="0"/>
      <w:marTop w:val="0"/>
      <w:marBottom w:val="0"/>
      <w:divBdr>
        <w:top w:val="none" w:sz="0" w:space="0" w:color="auto"/>
        <w:left w:val="none" w:sz="0" w:space="0" w:color="auto"/>
        <w:bottom w:val="none" w:sz="0" w:space="0" w:color="auto"/>
        <w:right w:val="none" w:sz="0" w:space="0" w:color="auto"/>
      </w:divBdr>
    </w:div>
    <w:div w:id="137357972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epp.eurostat.ec.europa.eu/portal/page/portal/eurostat/home"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espon.eu/main/Menu_Projects/"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2780</Words>
  <Characters>15848</Characters>
  <Application>Microsoft Office Word</Application>
  <DocSecurity>0</DocSecurity>
  <Lines>132</Lines>
  <Paragraphs>37</Paragraphs>
  <ScaleCrop>false</ScaleCrop>
  <Company>crp Henri Tudor</Company>
  <LinksUpToDate>false</LinksUpToDate>
  <CharactersWithSpaces>18591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subject/>
  <dc:creator>pacasova</dc:creator>
  <cp:keywords/>
  <dc:description/>
  <cp:lastModifiedBy>kearney</cp:lastModifiedBy>
  <cp:revision>14</cp:revision>
  <cp:lastPrinted>2012-10-25T11:53:00Z</cp:lastPrinted>
  <dcterms:created xsi:type="dcterms:W3CDTF">2012-11-20T10:31:00Z</dcterms:created>
  <dcterms:modified xsi:type="dcterms:W3CDTF">2012-11-27T11:38:00Z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