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37764A" w:rsidP="0037764A">
      <w:pPr>
        <w:tabs>
          <w:tab w:val="left" w:pos="6195"/>
        </w:tabs>
        <w:spacing w:after="0" w:line="240" w:lineRule="auto"/>
        <w:jc w:val="left"/>
        <w:rPr>
          <w:rFonts w:ascii="Arial" w:hAnsi="Arial" w:cs="Arial"/>
          <w:sz w:val="32"/>
          <w:szCs w:val="32"/>
          <w:lang w:val="en-US"/>
        </w:rPr>
      </w:pPr>
      <w:r>
        <w:rPr>
          <w:rFonts w:ascii="Arial" w:hAnsi="Arial" w:cs="Arial"/>
          <w:sz w:val="32"/>
          <w:szCs w:val="32"/>
          <w:lang w:val="en-US"/>
        </w:rPr>
        <w:tab/>
      </w: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330E27" w:rsidRDefault="00952B22" w:rsidP="008F09C6">
      <w:pPr>
        <w:spacing w:line="240" w:lineRule="auto"/>
        <w:ind w:left="-851"/>
        <w:jc w:val="center"/>
        <w:rPr>
          <w:rFonts w:ascii="Arial" w:hAnsi="Arial" w:cs="Arial"/>
          <w:sz w:val="40"/>
          <w:szCs w:val="40"/>
          <w:lang w:val="en-US"/>
        </w:rPr>
      </w:pPr>
      <w:r w:rsidRPr="00330E27">
        <w:rPr>
          <w:rFonts w:ascii="Arial" w:hAnsi="Arial" w:cs="Arial"/>
          <w:sz w:val="40"/>
          <w:szCs w:val="40"/>
          <w:lang w:val="en-US"/>
        </w:rPr>
        <w:t>Caribbean</w:t>
      </w:r>
    </w:p>
    <w:p w:rsidR="00E613A3" w:rsidRDefault="007C506D"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880100" cy="5018405"/>
            <wp:effectExtent l="19050" t="0" r="635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80100" cy="5018405"/>
                    </a:xfrm>
                    <a:prstGeom prst="rect">
                      <a:avLst/>
                    </a:prstGeom>
                    <a:noFill/>
                    <a:ln w="9525">
                      <a:noFill/>
                      <a:miter lim="800000"/>
                      <a:headEnd/>
                      <a:tailEnd/>
                    </a:ln>
                  </pic:spPr>
                </pic:pic>
              </a:graphicData>
            </a:graphic>
          </wp:inline>
        </w:drawing>
      </w:r>
    </w:p>
    <w:p w:rsidR="00BC65E1" w:rsidRPr="008F09C6" w:rsidRDefault="00BC65E1" w:rsidP="00337519">
      <w:pPr>
        <w:spacing w:after="0" w:line="240" w:lineRule="auto"/>
        <w:ind w:left="-851"/>
        <w:rPr>
          <w:rFonts w:ascii="Arial" w:hAnsi="Arial" w:cs="Arial"/>
          <w:sz w:val="16"/>
          <w:szCs w:val="16"/>
          <w:lang w:val="en-US"/>
        </w:rPr>
      </w:pPr>
    </w:p>
    <w:p w:rsidR="00330E27" w:rsidRDefault="00330E27" w:rsidP="00330E27">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330E27" w:rsidRDefault="00330E27" w:rsidP="00330E27">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37764A" w:rsidRDefault="0037764A" w:rsidP="0037764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37764A" w:rsidRDefault="0037764A" w:rsidP="0037764A">
      <w:r>
        <w:t xml:space="preserve">The ESPON TERREVI project focuses on producing evidence for Structural Funds programmes with the aim to support the development of the programmes to be carried out in the 2014-2020 period. </w:t>
      </w:r>
    </w:p>
    <w:p w:rsidR="0037764A" w:rsidRDefault="0037764A" w:rsidP="0037764A">
      <w:pPr>
        <w:shd w:val="clear" w:color="auto" w:fill="FFFFFF" w:themeFill="background1"/>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7764A" w:rsidRPr="007456E2" w:rsidRDefault="0037764A" w:rsidP="0037764A">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p>
    <w:p w:rsidR="00694F2C" w:rsidRPr="0085195F" w:rsidRDefault="0037764A" w:rsidP="00694F2C">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694F2C">
        <w:t>This</w:t>
      </w:r>
      <w:r w:rsidR="00694F2C" w:rsidRPr="0085195F">
        <w:t xml:space="preserve"> is intended as an electronic publication so map quality is generally high to allow users to zoom into specific territories.</w:t>
      </w:r>
    </w:p>
    <w:p w:rsidR="0037764A" w:rsidRDefault="00694F2C" w:rsidP="00694F2C">
      <w:pPr>
        <w:shd w:val="clear" w:color="auto" w:fill="FFFFFF"/>
      </w:pPr>
      <w:r w:rsidRPr="0085195F">
        <w:t>This factsheet does not necessarily reflect the opinion of the ESPON Monitoring Committee.</w:t>
      </w:r>
    </w:p>
    <w:p w:rsidR="0037764A" w:rsidRDefault="0037764A" w:rsidP="0037764A">
      <w:pPr>
        <w:pStyle w:val="Heading1"/>
      </w:pPr>
      <w:r>
        <w:t xml:space="preserve">Europe 2020 </w:t>
      </w:r>
    </w:p>
    <w:p w:rsidR="0037764A" w:rsidRDefault="0037764A" w:rsidP="0037764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7764A" w:rsidRDefault="0037764A" w:rsidP="0037764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r w:rsidR="008C6C31">
        <w:t>area</w:t>
      </w:r>
      <w:r>
        <w:t xml:space="preserve"> and the way and degree to which it is affected. </w:t>
      </w:r>
    </w:p>
    <w:p w:rsidR="0037764A" w:rsidRDefault="0037764A" w:rsidP="0037764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7764A" w:rsidRDefault="0037764A" w:rsidP="0037764A">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0B3784" w:rsidRDefault="000B3784" w:rsidP="000B3784">
      <w:r>
        <w:t>In the following the traffic light for each indicator represents how your programme territory compares to wider European medians where green = your programme area performs better for that indicator, yel</w:t>
      </w:r>
      <w:r w:rsidR="00694F2C">
        <w:t>low = similar, and red = worse.</w:t>
      </w:r>
    </w:p>
    <w:p w:rsidR="00E82A2F" w:rsidRPr="001A1861" w:rsidRDefault="00E82A2F" w:rsidP="00E82A2F">
      <w:pPr>
        <w:spacing w:after="240"/>
        <w:rPr>
          <w:lang w:val="en-US"/>
        </w:rPr>
      </w:pPr>
      <w:r w:rsidRPr="001A1861">
        <w:t xml:space="preserve">The traffic lights below were created in order to graphically represent the situation of each analysed TNC Area compared to the one of the EU-27+4 </w:t>
      </w:r>
      <w:proofErr w:type="gramStart"/>
      <w:r w:rsidRPr="001A1861">
        <w:t>space</w:t>
      </w:r>
      <w:proofErr w:type="gramEnd"/>
      <w:r w:rsidRPr="001A1861">
        <w:t>. The median value, calculated depending on the values registered for every NUTS 2/NUTS 3 region composing the programme area was used as the central value indicator. The median of the programme area was compared to the one computed for EU-27+4 territory.</w:t>
      </w:r>
    </w:p>
    <w:p w:rsidR="00E82A2F" w:rsidRDefault="00E82A2F" w:rsidP="00E82A2F">
      <w:pPr>
        <w:spacing w:after="240"/>
        <w:rPr>
          <w:lang w:val="en-US"/>
        </w:rPr>
      </w:pPr>
      <w:r w:rsidRPr="001A1861">
        <w:rPr>
          <w:lang w:val="en-US"/>
        </w:rPr>
        <w:t>EU 27+4 in traffic l</w:t>
      </w:r>
      <w:r>
        <w:t>ights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E82A2F" w:rsidRDefault="00E82A2F">
      <w:pPr>
        <w:spacing w:after="0" w:line="240" w:lineRule="auto"/>
        <w:jc w:val="left"/>
        <w:rPr>
          <w:lang w:val="en-US"/>
        </w:rPr>
      </w:pPr>
      <w:r>
        <w:rPr>
          <w:lang w:val="en-US"/>
        </w:rPr>
        <w:br w:type="page"/>
      </w:r>
    </w:p>
    <w:p w:rsidR="00337872" w:rsidRDefault="00E43562" w:rsidP="00337872">
      <w:pPr>
        <w:pStyle w:val="Heading3"/>
      </w:pPr>
      <w:r w:rsidRPr="00135DC7">
        <w:lastRenderedPageBreak/>
        <w:t xml:space="preserve">Smart, Sustainable and Inclusive </w:t>
      </w:r>
      <w:r w:rsidR="00337872" w:rsidRPr="00135DC7">
        <w:t>growth</w:t>
      </w:r>
      <w:r w:rsidR="00337872"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43562" w:rsidRDefault="00E43562" w:rsidP="00E43562">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E702E0">
        <w:t>. In the framework of the Europe</w:t>
      </w:r>
      <w:r>
        <w:t xml:space="preserve"> 2020 Strategy it means focus on competitiveness, resource efficiency, climate change and biodiversity.</w:t>
      </w:r>
    </w:p>
    <w:p w:rsidR="00E43562" w:rsidRDefault="00A57AC7" w:rsidP="00E43562">
      <w:r>
        <w:rPr>
          <w:noProof/>
          <w:lang w:val="en-US"/>
        </w:rPr>
        <w:drawing>
          <wp:anchor distT="0" distB="0" distL="114300" distR="114300" simplePos="0" relativeHeight="251675136" behindDoc="1" locked="0" layoutInCell="1" allowOverlap="1">
            <wp:simplePos x="0" y="0"/>
            <wp:positionH relativeFrom="column">
              <wp:posOffset>-439420</wp:posOffset>
            </wp:positionH>
            <wp:positionV relativeFrom="paragraph">
              <wp:posOffset>1177925</wp:posOffset>
            </wp:positionV>
            <wp:extent cx="6179185" cy="4199255"/>
            <wp:effectExtent l="19050" t="0" r="0" b="0"/>
            <wp:wrapTight wrapText="bothSides">
              <wp:wrapPolygon edited="0">
                <wp:start x="-67" y="0"/>
                <wp:lineTo x="-67" y="21460"/>
                <wp:lineTo x="21576" y="21460"/>
                <wp:lineTo x="21576" y="0"/>
                <wp:lineTo x="-67" y="0"/>
              </wp:wrapPolygon>
            </wp:wrapTight>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179185" cy="4199255"/>
                    </a:xfrm>
                    <a:prstGeom prst="rect">
                      <a:avLst/>
                    </a:prstGeom>
                    <a:noFill/>
                    <a:ln w="9525">
                      <a:noFill/>
                      <a:miter lim="800000"/>
                      <a:headEnd/>
                      <a:tailEnd/>
                    </a:ln>
                  </pic:spPr>
                </pic:pic>
              </a:graphicData>
            </a:graphic>
          </wp:anchor>
        </w:drawing>
      </w:r>
      <w:r w:rsidR="00E43562">
        <w:t xml:space="preserve">Inclusive growth refers to </w:t>
      </w:r>
      <w:r w:rsidR="00E43562" w:rsidRPr="00151954">
        <w:t>fostering a high-employment economy delivering social and territorial cohesion.</w:t>
      </w:r>
      <w:r w:rsidR="00E43562">
        <w:t xml:space="preserve"> Within the Europe 2020 Strategy it means </w:t>
      </w:r>
      <w:r w:rsidR="00E43562" w:rsidRPr="00151954">
        <w:t>raising Europe’s employment rate, helping people of all ages anticipate and manage change through investment in skills &amp; training, modernising labour markets and welfare systems, and ensuring the benefits of growth reach all parts of the EU</w:t>
      </w:r>
      <w:r w:rsidR="00E43562">
        <w:t>. In short the key factors are employment and avoiding risk of poverty and social exclusion.</w:t>
      </w:r>
    </w:p>
    <w:p w:rsidR="00135DC7" w:rsidRDefault="00135DC7" w:rsidP="00135DC7">
      <w:pPr>
        <w:spacing w:line="240" w:lineRule="atLeast"/>
        <w:rPr>
          <w:szCs w:val="20"/>
          <w:lang w:val="en-US"/>
        </w:rPr>
      </w:pPr>
      <w:r>
        <w:rPr>
          <w:szCs w:val="20"/>
          <w:lang w:val="en-US"/>
        </w:rPr>
        <w:t>L</w:t>
      </w:r>
      <w:r w:rsidRPr="00811EB5">
        <w:rPr>
          <w:szCs w:val="20"/>
          <w:lang w:val="en-US"/>
        </w:rPr>
        <w:t xml:space="preserve">ooking at the indicators for </w:t>
      </w:r>
      <w:r w:rsidRPr="00811EB5">
        <w:rPr>
          <w:b/>
          <w:szCs w:val="20"/>
          <w:lang w:val="en-US"/>
        </w:rPr>
        <w:t>smart growth</w:t>
      </w:r>
      <w:r>
        <w:rPr>
          <w:szCs w:val="20"/>
          <w:lang w:val="en-US"/>
        </w:rPr>
        <w:t>, the Caribbean TNC area performs worse than the EU27+4 with regards to the number of persons regularly using the internet. There is however no data on R&amp;D expenditure or the employment in knowledge-intensive services for the Caribbean TNC area which is why no comparison with all TNC areas or the EU27+4 is possible for these indicators.</w:t>
      </w:r>
    </w:p>
    <w:p w:rsidR="00135DC7" w:rsidRDefault="00135DC7" w:rsidP="00135DC7">
      <w:pPr>
        <w:rPr>
          <w:szCs w:val="20"/>
          <w:lang w:val="en-US"/>
        </w:rPr>
      </w:pPr>
      <w:r>
        <w:rPr>
          <w:szCs w:val="20"/>
          <w:lang w:val="en-US"/>
        </w:rPr>
        <w:t xml:space="preserve">Using the taxonomy of the KIT project, Map 1 shows that the TNC area counts amongst the less advanced innovation areas. </w:t>
      </w:r>
    </w:p>
    <w:p w:rsidR="00135DC7" w:rsidRDefault="00135DC7" w:rsidP="00135DC7">
      <w:pPr>
        <w:rPr>
          <w:szCs w:val="20"/>
          <w:lang w:val="en-US"/>
        </w:rPr>
      </w:pPr>
      <w:r>
        <w:rPr>
          <w:szCs w:val="20"/>
          <w:lang w:val="en-US"/>
        </w:rPr>
        <w:lastRenderedPageBreak/>
        <w:t xml:space="preserve">There is no data about the wind energy potential, the ozone concentration nor the potential vulnerability to climate change of the TNC area which is why it is not possible to compare it with the EU27+4 or all TNC areas and the traffic lights for the </w:t>
      </w:r>
      <w:r w:rsidRPr="000032B9">
        <w:rPr>
          <w:b/>
          <w:szCs w:val="20"/>
          <w:lang w:val="en-US"/>
        </w:rPr>
        <w:t>sustainable growth</w:t>
      </w:r>
      <w:r>
        <w:rPr>
          <w:szCs w:val="20"/>
          <w:lang w:val="en-US"/>
        </w:rPr>
        <w:t xml:space="preserve"> indicators are empty.</w:t>
      </w:r>
    </w:p>
    <w:p w:rsidR="00135DC7" w:rsidRDefault="00135DC7" w:rsidP="00135DC7">
      <w:r>
        <w:t xml:space="preserve">Map 3 shows that the Caribbean TNC area has a low capacity to adapt to climate change. </w:t>
      </w:r>
    </w:p>
    <w:p w:rsidR="00135DC7" w:rsidRDefault="00135DC7" w:rsidP="00135DC7">
      <w:r w:rsidRPr="00500A22">
        <w:rPr>
          <w:szCs w:val="20"/>
          <w:lang w:val="en-US"/>
        </w:rPr>
        <w:t>The</w:t>
      </w:r>
      <w:r>
        <w:rPr>
          <w:szCs w:val="20"/>
          <w:lang w:val="en-US"/>
        </w:rPr>
        <w:t>re is no data about whether the</w:t>
      </w:r>
      <w:r w:rsidRPr="00500A22">
        <w:rPr>
          <w:szCs w:val="20"/>
          <w:lang w:val="en-US"/>
        </w:rPr>
        <w:t xml:space="preserve"> </w:t>
      </w:r>
      <w:r>
        <w:rPr>
          <w:szCs w:val="20"/>
          <w:lang w:val="en-US"/>
        </w:rPr>
        <w:t xml:space="preserve">TNC area is affected in terms of </w:t>
      </w:r>
      <w:r w:rsidRPr="00500A22">
        <w:rPr>
          <w:szCs w:val="20"/>
          <w:lang w:val="en-US"/>
        </w:rPr>
        <w:t xml:space="preserve">fossil fuel consumption </w:t>
      </w:r>
      <w:r>
        <w:rPr>
          <w:szCs w:val="20"/>
          <w:lang w:val="en-US"/>
        </w:rPr>
        <w:t>by</w:t>
      </w:r>
      <w:r w:rsidRPr="00500A22">
        <w:rPr>
          <w:szCs w:val="20"/>
          <w:lang w:val="en-US"/>
        </w:rPr>
        <w:t xml:space="preserve"> </w:t>
      </w:r>
      <w:r>
        <w:rPr>
          <w:szCs w:val="20"/>
          <w:lang w:val="en-US"/>
        </w:rPr>
        <w:t xml:space="preserve">the </w:t>
      </w:r>
      <w:r w:rsidRPr="00500A22">
        <w:rPr>
          <w:szCs w:val="20"/>
          <w:lang w:val="en-US"/>
        </w:rPr>
        <w:t>Directive on the promotion of clean and energy-efficient road transport vehicles</w:t>
      </w:r>
      <w:r>
        <w:rPr>
          <w:szCs w:val="20"/>
          <w:lang w:val="en-US"/>
        </w:rPr>
        <w:t>.</w:t>
      </w:r>
    </w:p>
    <w:p w:rsidR="00135DC7" w:rsidRDefault="00135DC7" w:rsidP="00135DC7">
      <w:r>
        <w:t xml:space="preserve">With regards to </w:t>
      </w:r>
      <w:r w:rsidRPr="008F586E">
        <w:rPr>
          <w:b/>
        </w:rPr>
        <w:t>inclusive growth</w:t>
      </w:r>
      <w:r>
        <w:t xml:space="preserve"> indicators, there is little data available about the TNC area which makes it impossible to compare it with the TNC areas or the EU27+4.  The Caribbean TNC area has a higher long-term unemployment rate than the EU27+4 with 16.4% (median value) compared to 2.99% (median value). </w:t>
      </w:r>
    </w:p>
    <w:p w:rsidR="00135DC7" w:rsidRDefault="00135DC7" w:rsidP="00135DC7">
      <w:r>
        <w:t>This can also be seen in Map 5 which shows that the employment rate in the TNC area is below 60%.</w:t>
      </w:r>
    </w:p>
    <w:p w:rsidR="00135DC7" w:rsidRDefault="00135DC7" w:rsidP="00135DC7">
      <w:r>
        <w:t xml:space="preserve">There is no data neither about the at-risk-of-poverty rate nor the </w:t>
      </w:r>
      <w:r>
        <w:rPr>
          <w:szCs w:val="20"/>
          <w:lang w:val="en-US"/>
        </w:rPr>
        <w:t>share of persons aged 25-64 and 20-24 with upper secondary or tertiary education attainment which is why no comparison with all TNC areas and the EU27+4 is possible and the traffic lights for these indicators are empty.</w:t>
      </w:r>
    </w:p>
    <w:p w:rsidR="00135DC7" w:rsidRDefault="00135DC7" w:rsidP="00135DC7">
      <w:r>
        <w:rPr>
          <w:szCs w:val="20"/>
          <w:lang w:val="en-US"/>
        </w:rPr>
        <w:t>In all four ESPON DEMIFER scenarios (Map 4), the Caribbean TNC areas seem to experience positive changes in labour force by 2050.</w:t>
      </w:r>
    </w:p>
    <w:p w:rsidR="00237808" w:rsidRDefault="00237808" w:rsidP="00E43562"/>
    <w:p w:rsidR="00237808" w:rsidRDefault="00237808" w:rsidP="00E43562"/>
    <w:p w:rsidR="00237808" w:rsidRDefault="00237808" w:rsidP="00E43562"/>
    <w:p w:rsidR="00237808" w:rsidRDefault="00237808" w:rsidP="00E43562"/>
    <w:p w:rsidR="00E43562" w:rsidRPr="00CA40C7" w:rsidRDefault="00E43562">
      <w:pPr>
        <w:spacing w:after="0" w:line="240" w:lineRule="auto"/>
        <w:jc w:val="left"/>
      </w:pPr>
      <w:r w:rsidRPr="00CA40C7">
        <w:br w:type="page"/>
      </w:r>
    </w:p>
    <w:p w:rsidR="008A3B96" w:rsidRPr="004E39BD" w:rsidRDefault="00337872" w:rsidP="008A3B96">
      <w:pPr>
        <w:rPr>
          <w:b/>
        </w:rPr>
      </w:pPr>
      <w:r w:rsidRPr="004E39BD">
        <w:rPr>
          <w:b/>
        </w:rPr>
        <w:lastRenderedPageBreak/>
        <w:t xml:space="preserve">MAP </w:t>
      </w:r>
      <w:r w:rsidR="007221CD">
        <w:rPr>
          <w:b/>
        </w:rPr>
        <w:t xml:space="preserve">1 </w:t>
      </w:r>
      <w:r w:rsidR="004E39BD" w:rsidRPr="004E39BD">
        <w:rPr>
          <w:b/>
        </w:rPr>
        <w:t>– Territorial Patterns of Innovation (ESPON KIT project)</w:t>
      </w:r>
      <w:r w:rsidR="006166FD">
        <w:rPr>
          <w:b/>
        </w:rPr>
        <w:t xml:space="preserve"> for the TNC</w:t>
      </w:r>
      <w:r w:rsidR="002371D8">
        <w:rPr>
          <w:b/>
        </w:rPr>
        <w:t xml:space="preserve"> </w:t>
      </w:r>
      <w:r w:rsidR="00952B22">
        <w:rPr>
          <w:b/>
        </w:rPr>
        <w:t>Caribbean</w:t>
      </w:r>
    </w:p>
    <w:p w:rsidR="008A3B96" w:rsidRDefault="008A3B96" w:rsidP="008A3B96"/>
    <w:p w:rsidR="008A3B96" w:rsidRDefault="00C150AD" w:rsidP="008A3B96">
      <w:pPr>
        <w:spacing w:after="0" w:line="240" w:lineRule="auto"/>
      </w:pPr>
      <w:r>
        <w:rPr>
          <w:noProof/>
          <w:lang w:val="en-US"/>
        </w:rPr>
        <w:drawing>
          <wp:inline distT="0" distB="0" distL="0" distR="0">
            <wp:extent cx="5278755" cy="6284584"/>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6166FD" w:rsidRPr="004E39BD" w:rsidRDefault="009F77A8" w:rsidP="006166FD">
      <w:pPr>
        <w:rPr>
          <w:b/>
        </w:rPr>
      </w:pPr>
      <w:r w:rsidRPr="00C33A99">
        <w:rPr>
          <w:b/>
        </w:rPr>
        <w:lastRenderedPageBreak/>
        <w:t xml:space="preserve">MAP </w:t>
      </w:r>
      <w:r w:rsidR="007221CD">
        <w:rPr>
          <w:b/>
        </w:rPr>
        <w:t>2 –</w:t>
      </w:r>
      <w:r w:rsidRPr="00C33A99">
        <w:rPr>
          <w:b/>
        </w:rPr>
        <w:t xml:space="preserve"> Territorial impact on fossil fuel consumption of Directive on the promotion of clean and energy-efficient road transport vehicles (ESPON ARTS project)</w:t>
      </w:r>
      <w:r w:rsidR="002371D8">
        <w:rPr>
          <w:b/>
        </w:rPr>
        <w:t xml:space="preserve"> </w:t>
      </w:r>
      <w:r w:rsidR="006166FD">
        <w:rPr>
          <w:b/>
        </w:rPr>
        <w:t xml:space="preserve">TNC </w:t>
      </w:r>
      <w:r w:rsidR="00952B22">
        <w:rPr>
          <w:b/>
        </w:rPr>
        <w:t>Caribbean</w:t>
      </w:r>
    </w:p>
    <w:p w:rsidR="00D26713" w:rsidRDefault="00D26713" w:rsidP="00D26713">
      <w:pPr>
        <w:spacing w:after="0" w:line="240" w:lineRule="auto"/>
        <w:rPr>
          <w:noProof/>
          <w:lang w:eastAsia="en-GB"/>
        </w:rPr>
      </w:pPr>
    </w:p>
    <w:p w:rsidR="00D26713" w:rsidRDefault="00C150AD" w:rsidP="00D26713">
      <w:pPr>
        <w:spacing w:after="0" w:line="240" w:lineRule="auto"/>
        <w:rPr>
          <w:noProof/>
          <w:lang w:eastAsia="en-GB"/>
        </w:rPr>
      </w:pPr>
      <w:r>
        <w:rPr>
          <w:noProof/>
          <w:lang w:val="en-US"/>
        </w:rPr>
        <w:drawing>
          <wp:inline distT="0" distB="0" distL="0" distR="0">
            <wp:extent cx="5278755" cy="5815626"/>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166FD" w:rsidRDefault="0066206E" w:rsidP="006166FD">
      <w:pPr>
        <w:rPr>
          <w:b/>
        </w:rPr>
      </w:pPr>
      <w:r w:rsidRPr="000E592C">
        <w:rPr>
          <w:b/>
        </w:rPr>
        <w:lastRenderedPageBreak/>
        <w:t xml:space="preserve">MAP </w:t>
      </w:r>
      <w:r w:rsidR="007221CD">
        <w:rPr>
          <w:b/>
        </w:rPr>
        <w:t>3 –</w:t>
      </w:r>
      <w:r w:rsidRPr="000E592C">
        <w:rPr>
          <w:b/>
        </w:rPr>
        <w:t xml:space="preserve"> </w:t>
      </w:r>
      <w:r w:rsidR="006E618B" w:rsidRPr="000E592C">
        <w:rPr>
          <w:b/>
        </w:rPr>
        <w:t>Combined adaptive capacity to climate change (ESPON CLIMATE project)</w:t>
      </w:r>
      <w:r w:rsidR="002371D8" w:rsidRPr="000E592C">
        <w:rPr>
          <w:b/>
        </w:rPr>
        <w:t xml:space="preserve"> for the </w:t>
      </w:r>
      <w:r w:rsidR="006166FD" w:rsidRPr="000E592C">
        <w:rPr>
          <w:b/>
        </w:rPr>
        <w:t xml:space="preserve">TNC </w:t>
      </w:r>
      <w:r w:rsidR="00952B22">
        <w:rPr>
          <w:b/>
        </w:rPr>
        <w:t>Caribbean</w:t>
      </w:r>
    </w:p>
    <w:p w:rsidR="00E82A2F" w:rsidRPr="00021CAB" w:rsidRDefault="00E82A2F" w:rsidP="00E82A2F">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F54E2D" w:rsidRDefault="00A35892">
      <w:pPr>
        <w:spacing w:after="0" w:line="240" w:lineRule="auto"/>
        <w:jc w:val="left"/>
        <w:rPr>
          <w:noProof/>
          <w:lang w:eastAsia="en-GB"/>
        </w:rPr>
      </w:pPr>
      <w:r>
        <w:rPr>
          <w:noProof/>
          <w:lang w:val="en-US"/>
        </w:rPr>
        <w:drawing>
          <wp:inline distT="0" distB="0" distL="0" distR="0">
            <wp:extent cx="5278755" cy="6831330"/>
            <wp:effectExtent l="19050" t="0" r="0" b="0"/>
            <wp:docPr id="17" name="Grafik 15" descr="MAP3 TN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TNC.ai.jpg"/>
                    <pic:cNvPicPr/>
                  </pic:nvPicPr>
                  <pic:blipFill>
                    <a:blip r:embed="rId18" cstate="print"/>
                    <a:stretch>
                      <a:fillRect/>
                    </a:stretch>
                  </pic:blipFill>
                  <pic:spPr>
                    <a:xfrm>
                      <a:off x="0" y="0"/>
                      <a:ext cx="5278755" cy="6831330"/>
                    </a:xfrm>
                    <a:prstGeom prst="rect">
                      <a:avLst/>
                    </a:prstGeom>
                  </pic:spPr>
                </pic:pic>
              </a:graphicData>
            </a:graphic>
          </wp:inline>
        </w:drawing>
      </w:r>
      <w:r w:rsidR="00F54E2D">
        <w:rPr>
          <w:noProof/>
          <w:lang w:eastAsia="en-GB"/>
        </w:rPr>
        <w:br w:type="page"/>
      </w:r>
    </w:p>
    <w:p w:rsidR="006166FD" w:rsidRPr="004E39BD" w:rsidRDefault="00AF47EF" w:rsidP="006166FD">
      <w:pPr>
        <w:rPr>
          <w:b/>
        </w:rPr>
      </w:pPr>
      <w:r w:rsidRPr="00C33A99">
        <w:rPr>
          <w:b/>
        </w:rPr>
        <w:lastRenderedPageBreak/>
        <w:t xml:space="preserve">MAP </w:t>
      </w:r>
      <w:r w:rsidR="007221CD">
        <w:rPr>
          <w:b/>
        </w:rPr>
        <w:t xml:space="preserve">4 – </w:t>
      </w:r>
      <w:r w:rsidR="00C04A1F" w:rsidRPr="00C33A99">
        <w:rPr>
          <w:b/>
        </w:rPr>
        <w:t>Change in Labour Force 2005-2050 (ESPON DEMIFER project)</w:t>
      </w:r>
      <w:r w:rsidR="002371D8">
        <w:rPr>
          <w:b/>
        </w:rPr>
        <w:t xml:space="preserve"> for </w:t>
      </w:r>
      <w:r w:rsidR="006166FD">
        <w:rPr>
          <w:b/>
        </w:rPr>
        <w:t xml:space="preserve">the TNC </w:t>
      </w:r>
      <w:r w:rsidR="00952B22">
        <w:rPr>
          <w:b/>
        </w:rPr>
        <w:t>Caribbean</w:t>
      </w:r>
    </w:p>
    <w:p w:rsidR="0089569C" w:rsidRDefault="0089569C" w:rsidP="0089569C">
      <w:pPr>
        <w:spacing w:after="0" w:line="240" w:lineRule="auto"/>
        <w:rPr>
          <w:noProof/>
          <w:lang w:eastAsia="en-GB"/>
        </w:rPr>
      </w:pPr>
    </w:p>
    <w:p w:rsidR="0089569C" w:rsidRDefault="00A35892" w:rsidP="0089569C">
      <w:pPr>
        <w:spacing w:after="0" w:line="240" w:lineRule="auto"/>
        <w:rPr>
          <w:noProof/>
          <w:lang w:eastAsia="en-GB"/>
        </w:rPr>
      </w:pPr>
      <w:r>
        <w:rPr>
          <w:noProof/>
          <w:lang w:val="en-US"/>
        </w:rPr>
        <w:drawing>
          <wp:inline distT="0" distB="0" distL="0" distR="0">
            <wp:extent cx="5278755" cy="6911340"/>
            <wp:effectExtent l="19050" t="0" r="0" b="0"/>
            <wp:docPr id="18" name="Grafik 17"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19"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166FD" w:rsidRPr="004E39BD" w:rsidRDefault="0066206E" w:rsidP="006166FD">
      <w:pPr>
        <w:rPr>
          <w:b/>
        </w:rPr>
      </w:pPr>
      <w:r w:rsidRPr="00D82705">
        <w:rPr>
          <w:b/>
        </w:rPr>
        <w:lastRenderedPageBreak/>
        <w:t xml:space="preserve">MAP </w:t>
      </w:r>
      <w:r w:rsidR="007221CD">
        <w:rPr>
          <w:b/>
        </w:rPr>
        <w:t>5 –</w:t>
      </w:r>
      <w:r w:rsidRPr="00D82705">
        <w:rPr>
          <w:b/>
        </w:rPr>
        <w:t xml:space="preserve"> </w:t>
      </w:r>
      <w:r w:rsidR="00FD4E3A" w:rsidRPr="00D82705">
        <w:rPr>
          <w:b/>
        </w:rPr>
        <w:t>Employment rate 2010</w:t>
      </w:r>
      <w:r w:rsidR="002371D8" w:rsidRPr="00D82705">
        <w:rPr>
          <w:b/>
        </w:rPr>
        <w:t xml:space="preserve"> within the </w:t>
      </w:r>
      <w:r w:rsidR="006166FD" w:rsidRPr="00D82705">
        <w:rPr>
          <w:b/>
        </w:rPr>
        <w:t xml:space="preserve">TNC </w:t>
      </w:r>
      <w:r w:rsidR="00952B22">
        <w:rPr>
          <w:b/>
        </w:rPr>
        <w:t>Caribbean</w:t>
      </w:r>
    </w:p>
    <w:p w:rsidR="006166FD" w:rsidRDefault="006166FD" w:rsidP="00FD4E3A">
      <w:pPr>
        <w:spacing w:after="0" w:line="240" w:lineRule="auto"/>
        <w:jc w:val="left"/>
        <w:rPr>
          <w:noProof/>
          <w:lang w:eastAsia="en-GB"/>
        </w:rPr>
      </w:pPr>
    </w:p>
    <w:p w:rsidR="006166FD" w:rsidRDefault="009478B4" w:rsidP="00FD4E3A">
      <w:pPr>
        <w:spacing w:after="0" w:line="240" w:lineRule="auto"/>
        <w:jc w:val="left"/>
        <w:rPr>
          <w:noProof/>
          <w:lang w:eastAsia="en-GB"/>
        </w:rPr>
      </w:pPr>
      <w:r>
        <w:rPr>
          <w:noProof/>
          <w:lang w:val="en-US"/>
        </w:rPr>
        <w:drawing>
          <wp:anchor distT="0" distB="0" distL="114300" distR="114300" simplePos="0" relativeHeight="251676160" behindDoc="0" locked="0" layoutInCell="1" allowOverlap="1">
            <wp:simplePos x="0" y="0"/>
            <wp:positionH relativeFrom="column">
              <wp:posOffset>1408430</wp:posOffset>
            </wp:positionH>
            <wp:positionV relativeFrom="paragraph">
              <wp:posOffset>5174615</wp:posOffset>
            </wp:positionV>
            <wp:extent cx="916305" cy="414655"/>
            <wp:effectExtent l="19050" t="0" r="0" b="0"/>
            <wp:wrapNone/>
            <wp:docPr id="3"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20" cstate="print"/>
                    <a:srcRect/>
                    <a:stretch>
                      <a:fillRect/>
                    </a:stretch>
                  </pic:blipFill>
                  <pic:spPr bwMode="auto">
                    <a:xfrm>
                      <a:off x="0" y="0"/>
                      <a:ext cx="916305" cy="414655"/>
                    </a:xfrm>
                    <a:prstGeom prst="rect">
                      <a:avLst/>
                    </a:prstGeom>
                    <a:noFill/>
                    <a:ln w="9525">
                      <a:noFill/>
                      <a:miter lim="800000"/>
                      <a:headEnd/>
                      <a:tailEnd/>
                    </a:ln>
                  </pic:spPr>
                </pic:pic>
              </a:graphicData>
            </a:graphic>
          </wp:anchor>
        </w:drawing>
      </w:r>
      <w:r w:rsidR="00A35892">
        <w:rPr>
          <w:noProof/>
          <w:lang w:val="en-US"/>
        </w:rPr>
        <w:drawing>
          <wp:inline distT="0" distB="0" distL="0" distR="0">
            <wp:extent cx="5278755" cy="6141085"/>
            <wp:effectExtent l="19050" t="0" r="0" b="0"/>
            <wp:docPr id="19" name="Grafik 18" descr="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21" cstate="print"/>
                    <a:stretch>
                      <a:fillRect/>
                    </a:stretch>
                  </pic:blipFill>
                  <pic:spPr>
                    <a:xfrm>
                      <a:off x="0" y="0"/>
                      <a:ext cx="5278755" cy="6141085"/>
                    </a:xfrm>
                    <a:prstGeom prst="rect">
                      <a:avLst/>
                    </a:prstGeom>
                  </pic:spPr>
                </pic:pic>
              </a:graphicData>
            </a:graphic>
          </wp:inline>
        </w:drawing>
      </w:r>
    </w:p>
    <w:p w:rsidR="006166FD" w:rsidRDefault="006166FD"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Default="005761A6" w:rsidP="005761A6">
      <w:pPr>
        <w:pStyle w:val="Heading1"/>
      </w:pPr>
      <w:r w:rsidRPr="00237808">
        <w:lastRenderedPageBreak/>
        <w:t xml:space="preserve">Territorial factors of interest for the programme area </w:t>
      </w:r>
    </w:p>
    <w:p w:rsidR="00952B22" w:rsidRDefault="00952B22" w:rsidP="00952B22">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952B22" w:rsidRDefault="00952B22" w:rsidP="00952B22">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952B22" w:rsidRPr="002301AE" w:rsidRDefault="00952B22" w:rsidP="00952B22">
      <w:r>
        <w:t xml:space="preserve">However many ESPON maps and data sets are only of partial interest for outermost areas and the territorial cooperation programmes they are involved in.  Overseas territories are </w:t>
      </w:r>
      <w:r w:rsidRPr="002301AE">
        <w:t xml:space="preserve">remote from continental EU. Besides, these territories are all both insular and mountainous, except for French Guyana, which can be characterised as sparsely populated. </w:t>
      </w:r>
    </w:p>
    <w:p w:rsidR="00952B22" w:rsidRPr="002301AE" w:rsidRDefault="00952B22" w:rsidP="00952B22">
      <w:r>
        <w:t>As the ESPON GEOSPECS report points out, i</w:t>
      </w:r>
      <w:r w:rsidRPr="002301AE">
        <w:t>nsularity can be considered as another dimension in remoteness. It</w:t>
      </w:r>
      <w:r>
        <w:t xml:space="preserve"> </w:t>
      </w:r>
      <w:r w:rsidRPr="002301AE">
        <w:t>necessarily brings accessibility and transportation issues, and various types of constraints as regards resources (e.g., energy water generation</w:t>
      </w:r>
      <w:r>
        <w:t xml:space="preserve"> </w:t>
      </w:r>
      <w:r w:rsidRPr="002301AE">
        <w:t>and storage/use, waste management). Double insularity makes these</w:t>
      </w:r>
      <w:r>
        <w:t xml:space="preserve"> </w:t>
      </w:r>
      <w:r w:rsidRPr="002301AE">
        <w:t>issues even more acute, and creates additional ones: internal accessibility</w:t>
      </w:r>
      <w:r>
        <w:t xml:space="preserve"> </w:t>
      </w:r>
      <w:r w:rsidRPr="002301AE">
        <w:t>issues must be addressed (by boat or air, which is more expensive); it is</w:t>
      </w:r>
      <w:r>
        <w:t xml:space="preserve"> </w:t>
      </w:r>
      <w:r w:rsidRPr="002301AE">
        <w:t>often necessary to duplicate infrastructures (e.g., for health or education);</w:t>
      </w:r>
      <w:r>
        <w:t xml:space="preserve"> </w:t>
      </w:r>
      <w:r w:rsidRPr="002301AE">
        <w:t>and it is also expensive to maintain several small structures. What is true</w:t>
      </w:r>
      <w:r>
        <w:t xml:space="preserve"> </w:t>
      </w:r>
      <w:r w:rsidRPr="002301AE">
        <w:t>for public infrastructures is equally true for private ones, and represents a</w:t>
      </w:r>
      <w:r>
        <w:t xml:space="preserve"> </w:t>
      </w:r>
      <w:r w:rsidRPr="002301AE">
        <w:t>burden for the development of economic activities (notably industrial</w:t>
      </w:r>
      <w:r>
        <w:t xml:space="preserve"> </w:t>
      </w:r>
      <w:r w:rsidRPr="002301AE">
        <w:t>activities).</w:t>
      </w:r>
    </w:p>
    <w:p w:rsidR="00952B22" w:rsidRDefault="00952B22" w:rsidP="00952B22">
      <w:r>
        <w:t>As for French Guyana the challenges of being sparsely populated are more prominent. T</w:t>
      </w:r>
      <w:r w:rsidRPr="009C5491">
        <w:t>he challenges are inherent in the definition of “sparsely populated”, as the logic of a market economy makes it inevitable that levels of service provision will be lower.</w:t>
      </w:r>
      <w:r>
        <w:t xml:space="preserve"> </w:t>
      </w:r>
    </w:p>
    <w:p w:rsidR="00952B22" w:rsidRDefault="00952B22" w:rsidP="00952B22">
      <w:r>
        <w:t xml:space="preserve">ESPON GEOSPECS has developed a nexus model for outermost regions linking defining features via intermediary process to development challenges and opportunities (see figure below). </w:t>
      </w:r>
    </w:p>
    <w:p w:rsidR="00952B22" w:rsidRPr="00B16E7C" w:rsidRDefault="00952B22" w:rsidP="00952B22">
      <w:r>
        <w:t xml:space="preserve">FIGURE – NEXUS MODEL OUTERMOST REGIONS </w:t>
      </w:r>
      <w:r w:rsidRPr="00B16E7C">
        <w:t>(ESPON GEOSPECS)</w:t>
      </w:r>
    </w:p>
    <w:p w:rsidR="00952B22" w:rsidRPr="00D24CD6" w:rsidRDefault="00952B22" w:rsidP="00952B22">
      <w:pPr>
        <w:spacing w:after="0" w:line="240" w:lineRule="auto"/>
        <w:jc w:val="left"/>
        <w:rPr>
          <w:noProof/>
          <w:lang w:val="de-DE" w:eastAsia="de-DE"/>
        </w:rPr>
      </w:pPr>
      <w:r>
        <w:rPr>
          <w:noProof/>
          <w:lang w:val="en-US"/>
        </w:rPr>
        <w:drawing>
          <wp:inline distT="0" distB="0" distL="0" distR="0">
            <wp:extent cx="5274945" cy="2554600"/>
            <wp:effectExtent l="25400" t="0" r="8255"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274945" cy="2554600"/>
                    </a:xfrm>
                    <a:prstGeom prst="rect">
                      <a:avLst/>
                    </a:prstGeom>
                    <a:noFill/>
                    <a:ln w="9525">
                      <a:noFill/>
                      <a:miter lim="800000"/>
                      <a:headEnd/>
                      <a:tailEnd/>
                    </a:ln>
                  </pic:spPr>
                </pic:pic>
              </a:graphicData>
            </a:graphic>
          </wp:inline>
        </w:drawing>
      </w:r>
    </w:p>
    <w:p w:rsidR="00952B22" w:rsidRDefault="00952B22" w:rsidP="00952B22">
      <w:pPr>
        <w:spacing w:after="0" w:line="240" w:lineRule="auto"/>
        <w:jc w:val="left"/>
        <w:rPr>
          <w:noProof/>
          <w:lang w:eastAsia="en-GB"/>
        </w:rPr>
      </w:pPr>
      <w:r>
        <w:rPr>
          <w:noProof/>
          <w:lang w:eastAsia="en-GB"/>
        </w:rPr>
        <w:br w:type="page"/>
      </w:r>
    </w:p>
    <w:p w:rsidR="006166FD" w:rsidRPr="004E39BD" w:rsidRDefault="0019394E" w:rsidP="006166FD">
      <w:pPr>
        <w:rPr>
          <w:b/>
        </w:rPr>
      </w:pPr>
      <w:r w:rsidRPr="0019394E">
        <w:rPr>
          <w:b/>
          <w:noProof/>
          <w:lang w:eastAsia="en-GB"/>
        </w:rPr>
        <w:lastRenderedPageBreak/>
        <w:t xml:space="preserve">MAP </w:t>
      </w:r>
      <w:r w:rsidR="007221CD">
        <w:rPr>
          <w:b/>
          <w:noProof/>
          <w:lang w:eastAsia="en-GB"/>
        </w:rPr>
        <w:t xml:space="preserve">6 </w:t>
      </w:r>
      <w:r w:rsidRPr="0019394E">
        <w:rPr>
          <w:b/>
          <w:noProof/>
          <w:lang w:eastAsia="en-GB"/>
        </w:rPr>
        <w:t xml:space="preserve">– Urban-rural typology of NUTS3 regions including remoteness (DG Regio) </w:t>
      </w:r>
      <w:r>
        <w:rPr>
          <w:b/>
          <w:noProof/>
          <w:lang w:eastAsia="en-GB"/>
        </w:rPr>
        <w:t xml:space="preserve">for the </w:t>
      </w:r>
      <w:r w:rsidR="006166FD">
        <w:rPr>
          <w:b/>
        </w:rPr>
        <w:t xml:space="preserve">TNC </w:t>
      </w:r>
      <w:r w:rsidR="00952B22">
        <w:rPr>
          <w:b/>
        </w:rPr>
        <w:t>Caribbean</w:t>
      </w:r>
    </w:p>
    <w:p w:rsidR="0089569C" w:rsidRDefault="0089569C" w:rsidP="0089569C">
      <w:pPr>
        <w:spacing w:after="0" w:line="240" w:lineRule="auto"/>
        <w:jc w:val="left"/>
        <w:rPr>
          <w:noProof/>
          <w:lang w:eastAsia="en-GB"/>
        </w:rPr>
      </w:pPr>
    </w:p>
    <w:p w:rsidR="0089569C" w:rsidRDefault="001F6D9C" w:rsidP="0089569C">
      <w:pPr>
        <w:spacing w:after="0" w:line="240" w:lineRule="auto"/>
        <w:jc w:val="left"/>
        <w:rPr>
          <w:noProof/>
          <w:lang w:eastAsia="en-GB"/>
        </w:rPr>
      </w:pPr>
      <w:r>
        <w:rPr>
          <w:noProof/>
          <w:lang w:val="en-US"/>
        </w:rPr>
        <w:drawing>
          <wp:inline distT="0" distB="0" distL="0" distR="0">
            <wp:extent cx="5278755" cy="7214065"/>
            <wp:effectExtent l="1905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6166FD" w:rsidRDefault="0019394E" w:rsidP="006166FD">
      <w:pPr>
        <w:rPr>
          <w:b/>
        </w:rPr>
      </w:pPr>
      <w:r w:rsidRPr="0019394E">
        <w:rPr>
          <w:b/>
          <w:noProof/>
          <w:lang w:eastAsia="en-GB"/>
        </w:rPr>
        <w:lastRenderedPageBreak/>
        <w:t xml:space="preserve">MAP </w:t>
      </w:r>
      <w:r w:rsidR="007221CD">
        <w:rPr>
          <w:b/>
          <w:noProof/>
          <w:lang w:eastAsia="en-GB"/>
        </w:rPr>
        <w:t xml:space="preserve">7 – </w:t>
      </w:r>
      <w:r w:rsidRPr="0019394E">
        <w:rPr>
          <w:b/>
          <w:noProof/>
          <w:lang w:eastAsia="en-GB"/>
        </w:rPr>
        <w:t xml:space="preserve">Multimodal accessibilty (ESPON Accessibility Update) </w:t>
      </w:r>
      <w:r>
        <w:rPr>
          <w:b/>
          <w:noProof/>
          <w:lang w:eastAsia="en-GB"/>
        </w:rPr>
        <w:t xml:space="preserve">for the </w:t>
      </w:r>
      <w:r w:rsidR="006166FD">
        <w:rPr>
          <w:b/>
        </w:rPr>
        <w:t xml:space="preserve">TNC </w:t>
      </w:r>
      <w:r w:rsidR="00952B22">
        <w:rPr>
          <w:b/>
        </w:rPr>
        <w:t>Caribbean</w:t>
      </w:r>
    </w:p>
    <w:p w:rsidR="00E82A2F" w:rsidRPr="00021CAB" w:rsidRDefault="00E82A2F" w:rsidP="00E82A2F">
      <w:pPr>
        <w:spacing w:after="240"/>
        <w:rPr>
          <w:i/>
        </w:rPr>
      </w:pPr>
      <w:r w:rsidRPr="00021CAB">
        <w:rPr>
          <w:i/>
        </w:rPr>
        <w:t>“Potential Accessibility Multimodal” scores accessibility of NUTS 3 regions by road, rail and air relative to the European average in an Accessibility Index.</w:t>
      </w:r>
    </w:p>
    <w:p w:rsidR="0089569C" w:rsidRDefault="00A35892" w:rsidP="0089569C">
      <w:pPr>
        <w:spacing w:after="0" w:line="240" w:lineRule="auto"/>
        <w:jc w:val="left"/>
        <w:rPr>
          <w:noProof/>
          <w:lang w:eastAsia="en-GB"/>
        </w:rPr>
      </w:pPr>
      <w:r>
        <w:rPr>
          <w:noProof/>
          <w:lang w:val="en-US"/>
        </w:rPr>
        <w:drawing>
          <wp:inline distT="0" distB="0" distL="0" distR="0">
            <wp:extent cx="5278755" cy="7444105"/>
            <wp:effectExtent l="19050" t="0" r="0" b="0"/>
            <wp:docPr id="21" name="Grafik 20" descr="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7.jpg"/>
                    <pic:cNvPicPr/>
                  </pic:nvPicPr>
                  <pic:blipFill>
                    <a:blip r:embed="rId24"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AE2A5A" w:rsidP="0019394E">
      <w:pPr>
        <w:pStyle w:val="Heading1"/>
      </w:pPr>
      <w:r>
        <w:lastRenderedPageBreak/>
        <w:t>Recommended ESPON reading</w:t>
      </w:r>
    </w:p>
    <w:p w:rsidR="00952B22" w:rsidRDefault="00952B22" w:rsidP="00952B22">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952B22" w:rsidRDefault="00952B22" w:rsidP="00952B22">
      <w:r>
        <w:t>The table below shows examples of relevant projects for the Cooperation Region. However, you have to study other ESPON reports as well in order to capitalise fully on the European information available for the transnational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952B22"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jc w:val="left"/>
              <w:rPr>
                <w:b/>
                <w:sz w:val="16"/>
                <w:szCs w:val="20"/>
              </w:rPr>
            </w:pPr>
            <w:r w:rsidRPr="009B7152">
              <w:rPr>
                <w:b/>
                <w:sz w:val="16"/>
                <w:szCs w:val="20"/>
              </w:rPr>
              <w:t>ESPON study</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rPr>
                <w:b/>
                <w:sz w:val="16"/>
                <w:szCs w:val="20"/>
              </w:rPr>
            </w:pPr>
            <w:r w:rsidRPr="009B7152">
              <w:rPr>
                <w:b/>
                <w:sz w:val="16"/>
                <w:szCs w:val="20"/>
              </w:rPr>
              <w:t>Topic</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pStyle w:val="ListParagraph"/>
              <w:spacing w:after="0" w:line="20" w:lineRule="atLeast"/>
              <w:ind w:left="0"/>
              <w:rPr>
                <w:b/>
                <w:sz w:val="16"/>
                <w:szCs w:val="18"/>
              </w:rPr>
            </w:pPr>
            <w:r w:rsidRPr="009B7152">
              <w:rPr>
                <w:b/>
                <w:sz w:val="16"/>
                <w:szCs w:val="18"/>
              </w:rPr>
              <w:t>Content</w:t>
            </w:r>
          </w:p>
        </w:tc>
      </w:tr>
      <w:tr w:rsidR="00952B22"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jc w:val="left"/>
              <w:rPr>
                <w:sz w:val="16"/>
                <w:szCs w:val="18"/>
              </w:rPr>
            </w:pPr>
            <w:r w:rsidRPr="009B7152">
              <w:rPr>
                <w:sz w:val="16"/>
                <w:szCs w:val="18"/>
              </w:rPr>
              <w:t xml:space="preserve">EDORA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rPr>
                <w:sz w:val="16"/>
                <w:szCs w:val="18"/>
              </w:rPr>
            </w:pPr>
            <w:r w:rsidRPr="009B7152">
              <w:rPr>
                <w:sz w:val="16"/>
                <w:szCs w:val="18"/>
              </w:rPr>
              <w:t>Rural areas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pStyle w:val="ListParagraph"/>
              <w:spacing w:after="0" w:line="20" w:lineRule="atLeast"/>
              <w:ind w:left="0"/>
              <w:rPr>
                <w:sz w:val="16"/>
                <w:szCs w:val="18"/>
              </w:rPr>
            </w:pPr>
            <w:r w:rsidRPr="009B7152">
              <w:rPr>
                <w:sz w:val="16"/>
                <w:szCs w:val="18"/>
              </w:rPr>
              <w:t>It provides evidence on the development opportunities of diverse types of European rural areas and reveals competitiveness options (see maps in Appendix 1).</w:t>
            </w:r>
          </w:p>
        </w:tc>
      </w:tr>
      <w:tr w:rsidR="00952B22"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jc w:val="left"/>
              <w:rPr>
                <w:sz w:val="16"/>
                <w:szCs w:val="18"/>
              </w:rPr>
            </w:pPr>
            <w:r w:rsidRPr="009B7152">
              <w:rPr>
                <w:sz w:val="16"/>
                <w:szCs w:val="18"/>
              </w:rPr>
              <w:t>CLIMATE</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rPr>
                <w:sz w:val="16"/>
                <w:szCs w:val="18"/>
              </w:rPr>
            </w:pPr>
            <w:r w:rsidRPr="009B7152">
              <w:rPr>
                <w:sz w:val="16"/>
                <w:szCs w:val="18"/>
              </w:rPr>
              <w:t>Climate change</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pStyle w:val="ListParagraph"/>
              <w:spacing w:after="0" w:line="20" w:lineRule="atLeast"/>
              <w:ind w:left="0"/>
              <w:rPr>
                <w:sz w:val="16"/>
                <w:szCs w:val="18"/>
              </w:rPr>
            </w:pPr>
            <w:r w:rsidRPr="009B7152">
              <w:rPr>
                <w:sz w:val="16"/>
                <w:szCs w:val="18"/>
              </w:rPr>
              <w:t>It analyses how and to which degree climate change will impact on the competitiveness and cohesion of European regions and Europe as a whole (see from map 1 to 23).</w:t>
            </w:r>
          </w:p>
        </w:tc>
      </w:tr>
      <w:tr w:rsidR="00952B22"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jc w:val="left"/>
              <w:rPr>
                <w:sz w:val="16"/>
                <w:szCs w:val="18"/>
              </w:rPr>
            </w:pPr>
            <w:r w:rsidRPr="009B7152">
              <w:rPr>
                <w:sz w:val="16"/>
                <w:szCs w:val="18"/>
              </w:rPr>
              <w:t>TIPTAP</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rPr>
                <w:sz w:val="16"/>
                <w:szCs w:val="18"/>
              </w:rPr>
            </w:pPr>
            <w:r w:rsidRPr="009B7152">
              <w:rPr>
                <w:sz w:val="16"/>
                <w:szCs w:val="18"/>
              </w:rPr>
              <w:t>Territorial impact assessment</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pStyle w:val="ListParagraph"/>
              <w:spacing w:after="0" w:line="20" w:lineRule="atLeast"/>
              <w:ind w:left="0"/>
              <w:rPr>
                <w:sz w:val="16"/>
                <w:szCs w:val="18"/>
              </w:rPr>
            </w:pPr>
            <w:r w:rsidRPr="009B7152">
              <w:rPr>
                <w:sz w:val="16"/>
                <w:szCs w:val="18"/>
              </w:rPr>
              <w:t xml:space="preserve">It provides a tool for the ex-ante assessment of territorial impacts of policies to deliver evidence on the territorial impact of policies (see from map 2.3.1 to 2.3.9). </w:t>
            </w:r>
          </w:p>
        </w:tc>
      </w:tr>
      <w:tr w:rsidR="00952B22"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jc w:val="left"/>
              <w:rPr>
                <w:sz w:val="16"/>
                <w:szCs w:val="18"/>
              </w:rPr>
            </w:pPr>
            <w:r w:rsidRPr="009B7152">
              <w:rPr>
                <w:sz w:val="16"/>
                <w:szCs w:val="18"/>
              </w:rPr>
              <w:t xml:space="preserve">CAEE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rPr>
                <w:sz w:val="16"/>
                <w:szCs w:val="18"/>
              </w:rPr>
            </w:pPr>
            <w:r w:rsidRPr="009B7152">
              <w:rPr>
                <w:sz w:val="16"/>
                <w:szCs w:val="18"/>
              </w:rPr>
              <w:t>Agglomeration economies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pStyle w:val="ListParagraph"/>
              <w:spacing w:after="0" w:line="20" w:lineRule="atLeast"/>
              <w:ind w:left="0"/>
              <w:rPr>
                <w:sz w:val="16"/>
                <w:szCs w:val="18"/>
              </w:rPr>
            </w:pPr>
            <w:r w:rsidRPr="009B7152">
              <w:rPr>
                <w:sz w:val="16"/>
                <w:szCs w:val="18"/>
              </w:rPr>
              <w:t xml:space="preserve">It aims at a better understanding of the economic costs and benefits of large urban agglomerations (see figure 1). </w:t>
            </w:r>
          </w:p>
        </w:tc>
      </w:tr>
      <w:tr w:rsidR="00952B22"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jc w:val="left"/>
              <w:rPr>
                <w:sz w:val="16"/>
                <w:szCs w:val="18"/>
              </w:rPr>
            </w:pPr>
            <w:r w:rsidRPr="009B7152">
              <w:rPr>
                <w:sz w:val="16"/>
                <w:szCs w:val="18"/>
              </w:rPr>
              <w:t xml:space="preserve">TRANSMEC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rPr>
                <w:sz w:val="16"/>
                <w:szCs w:val="18"/>
              </w:rPr>
            </w:pPr>
            <w:r w:rsidRPr="009B7152">
              <w:rPr>
                <w:sz w:val="16"/>
                <w:szCs w:val="18"/>
              </w:rPr>
              <w:t>European cooperation</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pStyle w:val="ListParagraph"/>
              <w:spacing w:after="0" w:line="20" w:lineRule="atLeast"/>
              <w:ind w:left="0"/>
              <w:rPr>
                <w:sz w:val="16"/>
                <w:szCs w:val="18"/>
              </w:rPr>
            </w:pPr>
            <w:r w:rsidRPr="009B7152">
              <w:rPr>
                <w:sz w:val="16"/>
                <w:szCs w:val="18"/>
              </w:rPr>
              <w:t xml:space="preserve">It develops a method providing guidance on how ESPON results can add value to support territorial cooperation programmes (see map 27 and from map 36 to 39 on potential accessibility indicators). The method is applied for the Northwest-Europe cooperation area. </w:t>
            </w:r>
          </w:p>
        </w:tc>
      </w:tr>
      <w:tr w:rsidR="00952B22"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jc w:val="left"/>
              <w:rPr>
                <w:sz w:val="16"/>
                <w:szCs w:val="18"/>
              </w:rPr>
            </w:pPr>
            <w:r w:rsidRPr="009B7152">
              <w:rPr>
                <w:sz w:val="16"/>
                <w:szCs w:val="18"/>
              </w:rPr>
              <w:t xml:space="preserve">SEMIGRA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rPr>
                <w:sz w:val="16"/>
                <w:szCs w:val="18"/>
              </w:rPr>
            </w:pPr>
            <w:r w:rsidRPr="009B7152">
              <w:rPr>
                <w:sz w:val="16"/>
                <w:szCs w:val="18"/>
              </w:rPr>
              <w:t>Rural migration</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pStyle w:val="ListParagraph"/>
              <w:spacing w:after="0" w:line="20" w:lineRule="atLeast"/>
              <w:ind w:left="0"/>
              <w:rPr>
                <w:sz w:val="16"/>
                <w:szCs w:val="18"/>
              </w:rPr>
            </w:pPr>
            <w:r w:rsidRPr="009B7152">
              <w:rPr>
                <w:sz w:val="16"/>
                <w:szCs w:val="18"/>
              </w:rPr>
              <w:t>It identifies the main reasons and consequences of selective migration in rural regions in order to develop strategies for territorial development (see map 1, 4 and 5).</w:t>
            </w:r>
          </w:p>
        </w:tc>
      </w:tr>
      <w:tr w:rsidR="00952B22"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jc w:val="left"/>
              <w:rPr>
                <w:sz w:val="16"/>
                <w:szCs w:val="18"/>
              </w:rPr>
            </w:pPr>
            <w:r w:rsidRPr="009B7152">
              <w:rPr>
                <w:sz w:val="16"/>
                <w:szCs w:val="18"/>
              </w:rPr>
              <w:t>KIT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rPr>
                <w:sz w:val="16"/>
                <w:szCs w:val="18"/>
              </w:rPr>
            </w:pPr>
            <w:r w:rsidRPr="009B7152">
              <w:rPr>
                <w:sz w:val="16"/>
                <w:szCs w:val="18"/>
              </w:rPr>
              <w:t>Innovation</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pStyle w:val="ListParagraph"/>
              <w:spacing w:after="0" w:line="20" w:lineRule="atLeast"/>
              <w:ind w:left="0"/>
              <w:rPr>
                <w:sz w:val="16"/>
                <w:szCs w:val="18"/>
              </w:rPr>
            </w:pPr>
            <w:r w:rsidRPr="009B7152">
              <w:rPr>
                <w:sz w:val="16"/>
                <w:szCs w:val="18"/>
              </w:rPr>
              <w:t xml:space="preserve">It describes patterns and potentials of regions in terms of knowledge and innovation economy and explores development opportunities (see from map 3.1.1 to 4.4.1). </w:t>
            </w:r>
          </w:p>
        </w:tc>
      </w:tr>
      <w:tr w:rsidR="00952B22"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jc w:val="left"/>
              <w:rPr>
                <w:sz w:val="16"/>
                <w:szCs w:val="18"/>
              </w:rPr>
            </w:pPr>
            <w:r w:rsidRPr="009B7152">
              <w:rPr>
                <w:sz w:val="16"/>
                <w:szCs w:val="18"/>
              </w:rPr>
              <w:t>SGPTD</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spacing w:after="0" w:line="20" w:lineRule="atLeast"/>
              <w:rPr>
                <w:sz w:val="16"/>
                <w:szCs w:val="18"/>
              </w:rPr>
            </w:pPr>
            <w:r w:rsidRPr="009B7152">
              <w:rPr>
                <w:sz w:val="16"/>
                <w:szCs w:val="18"/>
              </w:rPr>
              <w:t>Growth poles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952B22" w:rsidRPr="009B7152" w:rsidRDefault="00952B22" w:rsidP="007710C3">
            <w:pPr>
              <w:pStyle w:val="ListParagraph"/>
              <w:spacing w:after="0" w:line="20" w:lineRule="atLeast"/>
              <w:ind w:left="0"/>
              <w:rPr>
                <w:sz w:val="16"/>
                <w:szCs w:val="18"/>
              </w:rPr>
            </w:pPr>
            <w:r w:rsidRPr="009B7152">
              <w:rPr>
                <w:sz w:val="16"/>
                <w:szCs w:val="18"/>
              </w:rPr>
              <w:t>It provides evidence about performance and roles of European secondary cities (see from figure 2 to 2.12 and the case studies of Cork and Leeds in the Scientific Report).</w:t>
            </w:r>
          </w:p>
        </w:tc>
      </w:tr>
      <w:tr w:rsidR="00952B22" w:rsidRPr="009B7152" w:rsidTr="007710C3">
        <w:trPr>
          <w:trHeight w:val="864"/>
        </w:trPr>
        <w:tc>
          <w:tcPr>
            <w:tcW w:w="1276" w:type="dxa"/>
            <w:shd w:val="clear" w:color="auto" w:fill="FFFFFF" w:themeFill="background1"/>
          </w:tcPr>
          <w:p w:rsidR="00952B22" w:rsidRPr="009B7152" w:rsidRDefault="00952B22" w:rsidP="007710C3">
            <w:pPr>
              <w:spacing w:after="0" w:line="20" w:lineRule="atLeast"/>
              <w:jc w:val="left"/>
              <w:rPr>
                <w:sz w:val="16"/>
                <w:szCs w:val="18"/>
              </w:rPr>
            </w:pPr>
            <w:r w:rsidRPr="009B7152">
              <w:rPr>
                <w:sz w:val="16"/>
                <w:szCs w:val="18"/>
              </w:rPr>
              <w:t>GEOSPECS</w:t>
            </w:r>
          </w:p>
        </w:tc>
        <w:tc>
          <w:tcPr>
            <w:tcW w:w="1418" w:type="dxa"/>
            <w:shd w:val="clear" w:color="auto" w:fill="FFFFFF" w:themeFill="background1"/>
          </w:tcPr>
          <w:p w:rsidR="00952B22" w:rsidRPr="009B7152" w:rsidRDefault="00952B22" w:rsidP="007710C3">
            <w:pPr>
              <w:spacing w:after="0" w:line="20" w:lineRule="atLeast"/>
              <w:jc w:val="left"/>
              <w:rPr>
                <w:sz w:val="16"/>
                <w:szCs w:val="18"/>
              </w:rPr>
            </w:pPr>
            <w:r w:rsidRPr="009B7152">
              <w:rPr>
                <w:sz w:val="16"/>
                <w:szCs w:val="18"/>
              </w:rPr>
              <w:t>Specific types of territories</w:t>
            </w:r>
          </w:p>
        </w:tc>
        <w:tc>
          <w:tcPr>
            <w:tcW w:w="5670" w:type="dxa"/>
            <w:shd w:val="clear" w:color="auto" w:fill="FFFFFF" w:themeFill="background1"/>
          </w:tcPr>
          <w:p w:rsidR="00952B22" w:rsidRPr="009B7152" w:rsidRDefault="00952B22" w:rsidP="007710C3">
            <w:pPr>
              <w:spacing w:after="0" w:line="20" w:lineRule="atLeast"/>
              <w:rPr>
                <w:sz w:val="16"/>
                <w:szCs w:val="18"/>
              </w:rPr>
            </w:pPr>
            <w:r w:rsidRPr="009B7152">
              <w:rPr>
                <w:sz w:val="16"/>
                <w:szCs w:val="18"/>
              </w:rPr>
              <w:t xml:space="preserve">It provides evidence on the strength, weaknesses and development opportunities of specific types of territories and regions (e.g. border areas, highly or sparsely populated areas). It includes a case study on French Guiana in the </w:t>
            </w:r>
            <w:r>
              <w:rPr>
                <w:sz w:val="16"/>
                <w:szCs w:val="18"/>
              </w:rPr>
              <w:t xml:space="preserve">Scientific Report. </w:t>
            </w:r>
            <w:r w:rsidRPr="009B7152">
              <w:rPr>
                <w:sz w:val="16"/>
                <w:szCs w:val="18"/>
              </w:rPr>
              <w:t xml:space="preserve"> </w:t>
            </w:r>
          </w:p>
        </w:tc>
      </w:tr>
    </w:tbl>
    <w:p w:rsidR="00952B22" w:rsidRDefault="00952B22" w:rsidP="00952B22">
      <w:r>
        <w:br/>
        <w:t>Furthermore, some of overall ESPON products of particular interest for territorial cooperation are:</w:t>
      </w:r>
    </w:p>
    <w:p w:rsidR="00952B22" w:rsidRDefault="00952B22" w:rsidP="00952B22">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952B22" w:rsidRDefault="00952B22" w:rsidP="00952B22">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952B22" w:rsidRPr="00A33083" w:rsidRDefault="00952B22" w:rsidP="00952B22">
      <w:pPr>
        <w:pStyle w:val="ListParagraph"/>
        <w:numPr>
          <w:ilvl w:val="0"/>
          <w:numId w:val="4"/>
        </w:numPr>
      </w:pPr>
      <w:r w:rsidRPr="00112693">
        <w:rPr>
          <w:b/>
        </w:rPr>
        <w:t>ESPON 2013 Database</w:t>
      </w:r>
      <w:r w:rsidRPr="00A33083">
        <w:t xml:space="preserve"> provides regional information provided by </w:t>
      </w:r>
      <w:hyperlink r:id="rId25" w:history="1">
        <w:r w:rsidRPr="00A33083">
          <w:t>ESPON projects</w:t>
        </w:r>
      </w:hyperlink>
      <w:r w:rsidRPr="00A33083">
        <w:t xml:space="preserve"> and </w:t>
      </w:r>
      <w:hyperlink r:id="rId26" w:history="1">
        <w:r w:rsidRPr="00A33083">
          <w:t>EUROSTAT</w:t>
        </w:r>
      </w:hyperlink>
      <w:r w:rsidRPr="00A33083">
        <w:t xml:space="preserve">. </w:t>
      </w:r>
    </w:p>
    <w:p w:rsidR="00952B22" w:rsidRDefault="00952B22" w:rsidP="00952B22">
      <w:pPr>
        <w:pStyle w:val="ListParagraph"/>
        <w:numPr>
          <w:ilvl w:val="0"/>
          <w:numId w:val="4"/>
        </w:numPr>
      </w:pPr>
      <w:r w:rsidRPr="00112693">
        <w:rPr>
          <w:b/>
        </w:rPr>
        <w:t>ESPON Hyperaltas</w:t>
      </w:r>
      <w:r w:rsidRPr="000B4718">
        <w:t xml:space="preserve"> </w:t>
      </w:r>
      <w:r>
        <w:t xml:space="preserve">allows </w:t>
      </w:r>
      <w:r w:rsidR="008C6C31">
        <w:t>comparing and analysing</w:t>
      </w:r>
      <w:r>
        <w:t xml:space="preserve"> a</w:t>
      </w:r>
      <w:r w:rsidRPr="000B4718">
        <w:t xml:space="preserve"> region’s relative position at European, national and local scale for a </w:t>
      </w:r>
      <w:r>
        <w:t>wide range of</w:t>
      </w:r>
      <w:r w:rsidRPr="000B4718">
        <w:t xml:space="preserve"> criteria.</w:t>
      </w:r>
    </w:p>
    <w:p w:rsidR="00952B22" w:rsidRPr="00CD642B" w:rsidRDefault="00952B22" w:rsidP="00952B22">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952B22" w:rsidRDefault="00952B22" w:rsidP="00952B22">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9478B4" w:rsidRDefault="00952B22" w:rsidP="00952B22">
      <w:pPr>
        <w:jc w:val="center"/>
        <w:rPr>
          <w:b/>
        </w:rPr>
      </w:pPr>
      <w:r w:rsidRPr="00CD642B">
        <w:t>All ESPON reports and tools are freely available at</w:t>
      </w:r>
      <w:r>
        <w:br/>
      </w:r>
      <w:hyperlink r:id="rId27" w:history="1">
        <w:r w:rsidR="009478B4" w:rsidRPr="00DE3B4D">
          <w:rPr>
            <w:rStyle w:val="Hyperlink"/>
            <w:b/>
          </w:rPr>
          <w:t>www.espon.eu</w:t>
        </w:r>
      </w:hyperlink>
    </w:p>
    <w:p w:rsidR="009478B4" w:rsidRDefault="009478B4">
      <w:pPr>
        <w:spacing w:after="0" w:line="240" w:lineRule="auto"/>
        <w:jc w:val="left"/>
        <w:rPr>
          <w:b/>
        </w:rPr>
      </w:pPr>
      <w:r>
        <w:rPr>
          <w:b/>
        </w:rPr>
        <w:br w:type="page"/>
      </w:r>
    </w:p>
    <w:p w:rsidR="00952B22" w:rsidRPr="00F92386" w:rsidRDefault="00952B22" w:rsidP="00952B22">
      <w:pPr>
        <w:jc w:val="center"/>
      </w:pPr>
    </w:p>
    <w:p w:rsidR="00AE2A5A" w:rsidRPr="00AE2A5A" w:rsidRDefault="00AE2A5A" w:rsidP="00AE2A5A"/>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-609600</wp:posOffset>
            </wp:positionH>
            <wp:positionV relativeFrom="paragraph">
              <wp:posOffset>-914400</wp:posOffset>
            </wp:positionV>
            <wp:extent cx="7595235" cy="10693400"/>
            <wp:effectExtent l="25400" t="0" r="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5235" cy="10693400"/>
                    </a:xfrm>
                    <a:prstGeom prst="rect">
                      <a:avLst/>
                    </a:prstGeom>
                    <a:noFill/>
                    <a:ln w="9525">
                      <a:noFill/>
                      <a:miter lim="800000"/>
                      <a:headEnd/>
                      <a:tailEnd/>
                    </a:ln>
                  </pic:spPr>
                </pic:pic>
              </a:graphicData>
            </a:graphic>
          </wp:anchor>
        </w:drawing>
      </w:r>
      <w:r w:rsidR="00491079" w:rsidRPr="00491079">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CC47B5" w:rsidRPr="00FB783A" w:rsidRDefault="00CC47B5"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CE5" w:rsidRDefault="00234CE5">
      <w:r>
        <w:separator/>
      </w:r>
    </w:p>
  </w:endnote>
  <w:endnote w:type="continuationSeparator" w:id="0">
    <w:p w:rsidR="00234CE5" w:rsidRDefault="00234CE5">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7B5" w:rsidRDefault="00491079" w:rsidP="00BC65E1">
    <w:pPr>
      <w:framePr w:wrap="around" w:vAnchor="text" w:hAnchor="margin" w:xAlign="right" w:y="1"/>
      <w:rPr>
        <w:rStyle w:val="PageNumber"/>
      </w:rPr>
    </w:pPr>
    <w:r>
      <w:rPr>
        <w:rStyle w:val="PageNumber"/>
      </w:rPr>
      <w:fldChar w:fldCharType="begin"/>
    </w:r>
    <w:r w:rsidR="00CC47B5">
      <w:rPr>
        <w:rStyle w:val="PageNumber"/>
      </w:rPr>
      <w:instrText xml:space="preserve">PAGE  </w:instrText>
    </w:r>
    <w:r>
      <w:rPr>
        <w:rStyle w:val="PageNumber"/>
      </w:rPr>
      <w:fldChar w:fldCharType="separate"/>
    </w:r>
    <w:r w:rsidR="00CC47B5">
      <w:rPr>
        <w:rStyle w:val="PageNumber"/>
        <w:noProof/>
      </w:rPr>
      <w:t>3</w:t>
    </w:r>
    <w:r>
      <w:rPr>
        <w:rStyle w:val="PageNumber"/>
      </w:rPr>
      <w:fldChar w:fldCharType="end"/>
    </w:r>
  </w:p>
  <w:p w:rsidR="00CC47B5" w:rsidRDefault="00CC47B5">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7B5" w:rsidRPr="00A15B61" w:rsidRDefault="00491079" w:rsidP="00BC65E1">
    <w:pPr>
      <w:pStyle w:val="Footer"/>
      <w:framePr w:wrap="around" w:vAnchor="text" w:hAnchor="margin" w:xAlign="right" w:y="1"/>
      <w:rPr>
        <w:rStyle w:val="PageNumber"/>
      </w:rPr>
    </w:pPr>
    <w:r w:rsidRPr="00A15B61">
      <w:rPr>
        <w:rStyle w:val="PageNumber"/>
        <w:szCs w:val="20"/>
      </w:rPr>
      <w:fldChar w:fldCharType="begin"/>
    </w:r>
    <w:r w:rsidR="00CC47B5">
      <w:rPr>
        <w:rStyle w:val="PageNumber"/>
        <w:szCs w:val="20"/>
      </w:rPr>
      <w:instrText>PAGE</w:instrText>
    </w:r>
    <w:r w:rsidR="00CC47B5" w:rsidRPr="00A15B61">
      <w:rPr>
        <w:rStyle w:val="PageNumber"/>
        <w:szCs w:val="20"/>
      </w:rPr>
      <w:instrText xml:space="preserve">  </w:instrText>
    </w:r>
    <w:r w:rsidRPr="00A15B61">
      <w:rPr>
        <w:rStyle w:val="PageNumber"/>
        <w:szCs w:val="20"/>
      </w:rPr>
      <w:fldChar w:fldCharType="separate"/>
    </w:r>
    <w:r w:rsidR="00694F2C">
      <w:rPr>
        <w:rStyle w:val="PageNumber"/>
        <w:noProof/>
        <w:szCs w:val="20"/>
      </w:rPr>
      <w:t>1</w:t>
    </w:r>
    <w:r w:rsidRPr="00A15B61">
      <w:rPr>
        <w:rStyle w:val="PageNumber"/>
        <w:szCs w:val="20"/>
      </w:rPr>
      <w:fldChar w:fldCharType="end"/>
    </w:r>
  </w:p>
  <w:p w:rsidR="00CC47B5" w:rsidRPr="00A15B61" w:rsidRDefault="00CC47B5" w:rsidP="000D11C2">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7B5" w:rsidRPr="00A15B61" w:rsidRDefault="00491079" w:rsidP="00BC65E1">
    <w:pPr>
      <w:pStyle w:val="Footer"/>
      <w:framePr w:wrap="around" w:vAnchor="text" w:hAnchor="margin" w:xAlign="right" w:y="1"/>
      <w:rPr>
        <w:rStyle w:val="PageNumber"/>
      </w:rPr>
    </w:pPr>
    <w:r w:rsidRPr="00A15B61">
      <w:rPr>
        <w:rStyle w:val="PageNumber"/>
        <w:szCs w:val="20"/>
      </w:rPr>
      <w:fldChar w:fldCharType="begin"/>
    </w:r>
    <w:r w:rsidR="00CC47B5">
      <w:rPr>
        <w:rStyle w:val="PageNumber"/>
        <w:szCs w:val="20"/>
      </w:rPr>
      <w:instrText>PAGE</w:instrText>
    </w:r>
    <w:r w:rsidR="00CC47B5" w:rsidRPr="00A15B61">
      <w:rPr>
        <w:rStyle w:val="PageNumber"/>
        <w:szCs w:val="20"/>
      </w:rPr>
      <w:instrText xml:space="preserve">  </w:instrText>
    </w:r>
    <w:r w:rsidRPr="00A15B61">
      <w:rPr>
        <w:rStyle w:val="PageNumber"/>
        <w:szCs w:val="20"/>
      </w:rPr>
      <w:fldChar w:fldCharType="separate"/>
    </w:r>
    <w:r w:rsidR="00694F2C">
      <w:rPr>
        <w:rStyle w:val="PageNumber"/>
        <w:noProof/>
        <w:szCs w:val="20"/>
      </w:rPr>
      <w:t>16</w:t>
    </w:r>
    <w:r w:rsidRPr="00A15B61">
      <w:rPr>
        <w:rStyle w:val="PageNumber"/>
        <w:szCs w:val="20"/>
      </w:rPr>
      <w:fldChar w:fldCharType="end"/>
    </w:r>
  </w:p>
  <w:p w:rsidR="00CC47B5" w:rsidRPr="00A15B61" w:rsidRDefault="00CC47B5" w:rsidP="00C4344F">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CE5" w:rsidRDefault="00234CE5">
      <w:r>
        <w:separator/>
      </w:r>
    </w:p>
  </w:footnote>
  <w:footnote w:type="continuationSeparator" w:id="0">
    <w:p w:rsidR="00234CE5" w:rsidRDefault="00234C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7B5" w:rsidRDefault="00491079">
    <w:pPr>
      <w:pStyle w:val="Header"/>
    </w:pPr>
    <w:r w:rsidRPr="00491079">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07.85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w:txbxContent>
              <w:p w:rsidR="00CC47B5" w:rsidRDefault="00CC47B5" w:rsidP="00BC65E1">
                <w:pPr>
                  <w:spacing w:line="240" w:lineRule="auto"/>
                  <w:ind w:left="425" w:right="530"/>
                  <w:jc w:val="center"/>
                  <w:rPr>
                    <w:rFonts w:ascii="Arial" w:hAnsi="Arial" w:cs="Arial"/>
                    <w:sz w:val="60"/>
                    <w:szCs w:val="60"/>
                  </w:rPr>
                </w:pPr>
                <w:r>
                  <w:rPr>
                    <w:rFonts w:ascii="Arial" w:hAnsi="Arial" w:cs="Arial"/>
                    <w:sz w:val="60"/>
                    <w:szCs w:val="60"/>
                  </w:rPr>
                  <w:t>ESPON</w:t>
                </w:r>
                <w:r>
                  <w:rPr>
                    <w:rFonts w:ascii="Arial" w:hAnsi="Arial" w:cs="Arial"/>
                    <w:sz w:val="60"/>
                    <w:szCs w:val="60"/>
                  </w:rPr>
                  <w:br/>
                  <w:t xml:space="preserve">Factsheet </w:t>
                </w:r>
              </w:p>
              <w:p w:rsidR="00CC47B5" w:rsidRPr="00721B03" w:rsidRDefault="00CC47B5"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CC47B5">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7B5" w:rsidRDefault="00CC47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7FA41D4"/>
    <w:lvl w:ilvl="0">
      <w:start w:val="1"/>
      <w:numFmt w:val="decimal"/>
      <w:lvlText w:val="%1."/>
      <w:lvlJc w:val="left"/>
      <w:pPr>
        <w:tabs>
          <w:tab w:val="num" w:pos="1492"/>
        </w:tabs>
        <w:ind w:left="1492" w:hanging="360"/>
      </w:pPr>
    </w:lvl>
  </w:abstractNum>
  <w:abstractNum w:abstractNumId="1">
    <w:nsid w:val="FFFFFF7D"/>
    <w:multiLevelType w:val="singleLevel"/>
    <w:tmpl w:val="DB72474A"/>
    <w:lvl w:ilvl="0">
      <w:start w:val="1"/>
      <w:numFmt w:val="decimal"/>
      <w:lvlText w:val="%1."/>
      <w:lvlJc w:val="left"/>
      <w:pPr>
        <w:tabs>
          <w:tab w:val="num" w:pos="1209"/>
        </w:tabs>
        <w:ind w:left="1209" w:hanging="360"/>
      </w:pPr>
    </w:lvl>
  </w:abstractNum>
  <w:abstractNum w:abstractNumId="2">
    <w:nsid w:val="FFFFFF7E"/>
    <w:multiLevelType w:val="singleLevel"/>
    <w:tmpl w:val="2428774C"/>
    <w:lvl w:ilvl="0">
      <w:start w:val="1"/>
      <w:numFmt w:val="decimal"/>
      <w:lvlText w:val="%1."/>
      <w:lvlJc w:val="left"/>
      <w:pPr>
        <w:tabs>
          <w:tab w:val="num" w:pos="926"/>
        </w:tabs>
        <w:ind w:left="926" w:hanging="360"/>
      </w:pPr>
    </w:lvl>
  </w:abstractNum>
  <w:abstractNum w:abstractNumId="3">
    <w:nsid w:val="FFFFFF7F"/>
    <w:multiLevelType w:val="singleLevel"/>
    <w:tmpl w:val="FA2E5CE0"/>
    <w:lvl w:ilvl="0">
      <w:start w:val="1"/>
      <w:numFmt w:val="decimal"/>
      <w:lvlText w:val="%1."/>
      <w:lvlJc w:val="left"/>
      <w:pPr>
        <w:tabs>
          <w:tab w:val="num" w:pos="643"/>
        </w:tabs>
        <w:ind w:left="643" w:hanging="360"/>
      </w:pPr>
    </w:lvl>
  </w:abstractNum>
  <w:abstractNum w:abstractNumId="4">
    <w:nsid w:val="FFFFFF88"/>
    <w:multiLevelType w:val="singleLevel"/>
    <w:tmpl w:val="FE20D6AC"/>
    <w:lvl w:ilvl="0">
      <w:start w:val="1"/>
      <w:numFmt w:val="decimal"/>
      <w:lvlText w:val="%1."/>
      <w:lvlJc w:val="left"/>
      <w:pPr>
        <w:tabs>
          <w:tab w:val="num" w:pos="360"/>
        </w:tabs>
        <w:ind w:left="360" w:hanging="360"/>
      </w:pPr>
    </w:lvl>
  </w:abstractNum>
  <w:abstractNum w:abstractNumId="5">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8">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9">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6">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6"/>
  </w:num>
  <w:num w:numId="4">
    <w:abstractNumId w:val="14"/>
  </w:num>
  <w:num w:numId="5">
    <w:abstractNumId w:val="6"/>
  </w:num>
  <w:num w:numId="6">
    <w:abstractNumId w:val="13"/>
  </w:num>
  <w:num w:numId="7">
    <w:abstractNumId w:val="12"/>
  </w:num>
  <w:num w:numId="8">
    <w:abstractNumId w:val="10"/>
  </w:num>
  <w:num w:numId="9">
    <w:abstractNumId w:val="17"/>
  </w:num>
  <w:num w:numId="10">
    <w:abstractNumId w:val="16"/>
  </w:num>
  <w:num w:numId="11">
    <w:abstractNumId w:val="5"/>
  </w:num>
  <w:num w:numId="12">
    <w:abstractNumId w:val="15"/>
  </w:num>
  <w:num w:numId="13">
    <w:abstractNumId w:val="9"/>
  </w:num>
  <w:num w:numId="14">
    <w:abstractNumId w:val="11"/>
  </w:num>
  <w:num w:numId="15">
    <w:abstractNumId w:val="4"/>
  </w:num>
  <w:num w:numId="16">
    <w:abstractNumId w:val="3"/>
  </w:num>
  <w:num w:numId="17">
    <w:abstractNumId w:val="2"/>
  </w:num>
  <w:num w:numId="18">
    <w:abstractNumId w:val="1"/>
  </w:num>
  <w:num w:numId="1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60B7"/>
    <w:rsid w:val="00016919"/>
    <w:rsid w:val="000172BC"/>
    <w:rsid w:val="00020978"/>
    <w:rsid w:val="0002197F"/>
    <w:rsid w:val="00021A06"/>
    <w:rsid w:val="000245BA"/>
    <w:rsid w:val="00030CE4"/>
    <w:rsid w:val="00031AEC"/>
    <w:rsid w:val="00032745"/>
    <w:rsid w:val="00034626"/>
    <w:rsid w:val="00036BAE"/>
    <w:rsid w:val="00037716"/>
    <w:rsid w:val="00041991"/>
    <w:rsid w:val="00041A22"/>
    <w:rsid w:val="0004221D"/>
    <w:rsid w:val="00043F45"/>
    <w:rsid w:val="00050AB6"/>
    <w:rsid w:val="000527DC"/>
    <w:rsid w:val="00054E00"/>
    <w:rsid w:val="00055A97"/>
    <w:rsid w:val="000576BC"/>
    <w:rsid w:val="00061CE3"/>
    <w:rsid w:val="00063161"/>
    <w:rsid w:val="00064853"/>
    <w:rsid w:val="000664C7"/>
    <w:rsid w:val="00072557"/>
    <w:rsid w:val="00073957"/>
    <w:rsid w:val="00073BFF"/>
    <w:rsid w:val="000757CA"/>
    <w:rsid w:val="00077C32"/>
    <w:rsid w:val="000812A6"/>
    <w:rsid w:val="00081C3A"/>
    <w:rsid w:val="00083607"/>
    <w:rsid w:val="00085BAD"/>
    <w:rsid w:val="00086387"/>
    <w:rsid w:val="000A0B9B"/>
    <w:rsid w:val="000A0F69"/>
    <w:rsid w:val="000A647A"/>
    <w:rsid w:val="000A7BF8"/>
    <w:rsid w:val="000B3784"/>
    <w:rsid w:val="000B3819"/>
    <w:rsid w:val="000B4718"/>
    <w:rsid w:val="000B58AA"/>
    <w:rsid w:val="000B7A7D"/>
    <w:rsid w:val="000B7F4E"/>
    <w:rsid w:val="000C36A1"/>
    <w:rsid w:val="000C4070"/>
    <w:rsid w:val="000C716F"/>
    <w:rsid w:val="000D0D18"/>
    <w:rsid w:val="000D11C2"/>
    <w:rsid w:val="000D57C9"/>
    <w:rsid w:val="000D6C64"/>
    <w:rsid w:val="000D7CC4"/>
    <w:rsid w:val="000E592C"/>
    <w:rsid w:val="000E6CC8"/>
    <w:rsid w:val="000E76EB"/>
    <w:rsid w:val="000F1BA2"/>
    <w:rsid w:val="000F2140"/>
    <w:rsid w:val="000F4706"/>
    <w:rsid w:val="00105B9D"/>
    <w:rsid w:val="001120BB"/>
    <w:rsid w:val="00112693"/>
    <w:rsid w:val="00122A0A"/>
    <w:rsid w:val="00122ED0"/>
    <w:rsid w:val="001245F9"/>
    <w:rsid w:val="00124BDE"/>
    <w:rsid w:val="0012533B"/>
    <w:rsid w:val="001260F4"/>
    <w:rsid w:val="00127104"/>
    <w:rsid w:val="00133602"/>
    <w:rsid w:val="00134DC7"/>
    <w:rsid w:val="00135DC7"/>
    <w:rsid w:val="0013600B"/>
    <w:rsid w:val="001455ED"/>
    <w:rsid w:val="00150A5A"/>
    <w:rsid w:val="00150FCB"/>
    <w:rsid w:val="00151954"/>
    <w:rsid w:val="00151C31"/>
    <w:rsid w:val="00152974"/>
    <w:rsid w:val="00153108"/>
    <w:rsid w:val="0015691A"/>
    <w:rsid w:val="00162FF6"/>
    <w:rsid w:val="0016435C"/>
    <w:rsid w:val="00172B99"/>
    <w:rsid w:val="00177F91"/>
    <w:rsid w:val="00180D67"/>
    <w:rsid w:val="00182673"/>
    <w:rsid w:val="001838FE"/>
    <w:rsid w:val="00184B93"/>
    <w:rsid w:val="001907DA"/>
    <w:rsid w:val="00191F3D"/>
    <w:rsid w:val="001929F2"/>
    <w:rsid w:val="0019394E"/>
    <w:rsid w:val="00193F6F"/>
    <w:rsid w:val="00197096"/>
    <w:rsid w:val="001A0A8D"/>
    <w:rsid w:val="001A30F4"/>
    <w:rsid w:val="001A42AD"/>
    <w:rsid w:val="001A7669"/>
    <w:rsid w:val="001B0526"/>
    <w:rsid w:val="001B13B6"/>
    <w:rsid w:val="001B1A1A"/>
    <w:rsid w:val="001B300C"/>
    <w:rsid w:val="001B3AB0"/>
    <w:rsid w:val="001B6A94"/>
    <w:rsid w:val="001C043A"/>
    <w:rsid w:val="001C4CA6"/>
    <w:rsid w:val="001C7CD0"/>
    <w:rsid w:val="001D0F57"/>
    <w:rsid w:val="001D187B"/>
    <w:rsid w:val="001D594F"/>
    <w:rsid w:val="001E0ECB"/>
    <w:rsid w:val="001E2507"/>
    <w:rsid w:val="001E4F95"/>
    <w:rsid w:val="001E5F4A"/>
    <w:rsid w:val="001F0A8E"/>
    <w:rsid w:val="001F236D"/>
    <w:rsid w:val="001F5D67"/>
    <w:rsid w:val="001F6D9C"/>
    <w:rsid w:val="002004FA"/>
    <w:rsid w:val="00200704"/>
    <w:rsid w:val="00207B3F"/>
    <w:rsid w:val="0021343D"/>
    <w:rsid w:val="002146DB"/>
    <w:rsid w:val="00215B37"/>
    <w:rsid w:val="0022077E"/>
    <w:rsid w:val="00220A8C"/>
    <w:rsid w:val="002214A4"/>
    <w:rsid w:val="00221A45"/>
    <w:rsid w:val="00223DE3"/>
    <w:rsid w:val="002250F3"/>
    <w:rsid w:val="00227652"/>
    <w:rsid w:val="002339A0"/>
    <w:rsid w:val="00234CE5"/>
    <w:rsid w:val="002363BC"/>
    <w:rsid w:val="002371D8"/>
    <w:rsid w:val="00237808"/>
    <w:rsid w:val="0023799F"/>
    <w:rsid w:val="00253237"/>
    <w:rsid w:val="0025373C"/>
    <w:rsid w:val="0026077F"/>
    <w:rsid w:val="00264534"/>
    <w:rsid w:val="00265996"/>
    <w:rsid w:val="00276DA6"/>
    <w:rsid w:val="00281A82"/>
    <w:rsid w:val="00282854"/>
    <w:rsid w:val="00285BF3"/>
    <w:rsid w:val="002923B9"/>
    <w:rsid w:val="00293ABA"/>
    <w:rsid w:val="00293DE9"/>
    <w:rsid w:val="00294042"/>
    <w:rsid w:val="002949F4"/>
    <w:rsid w:val="002973FF"/>
    <w:rsid w:val="002977F3"/>
    <w:rsid w:val="002A2C96"/>
    <w:rsid w:val="002A7776"/>
    <w:rsid w:val="002B1929"/>
    <w:rsid w:val="002B51CA"/>
    <w:rsid w:val="002B71A8"/>
    <w:rsid w:val="002C06ED"/>
    <w:rsid w:val="002C2CBC"/>
    <w:rsid w:val="002C4473"/>
    <w:rsid w:val="002C780D"/>
    <w:rsid w:val="002D1443"/>
    <w:rsid w:val="002D3185"/>
    <w:rsid w:val="002D429C"/>
    <w:rsid w:val="002D5B13"/>
    <w:rsid w:val="002E0490"/>
    <w:rsid w:val="002E20E5"/>
    <w:rsid w:val="002E3524"/>
    <w:rsid w:val="002E529A"/>
    <w:rsid w:val="002E619E"/>
    <w:rsid w:val="002F1D75"/>
    <w:rsid w:val="002F4B38"/>
    <w:rsid w:val="002F713F"/>
    <w:rsid w:val="00303833"/>
    <w:rsid w:val="00304555"/>
    <w:rsid w:val="003052B2"/>
    <w:rsid w:val="0030699A"/>
    <w:rsid w:val="00322B33"/>
    <w:rsid w:val="003253E2"/>
    <w:rsid w:val="00330E27"/>
    <w:rsid w:val="003351B4"/>
    <w:rsid w:val="00337519"/>
    <w:rsid w:val="00337872"/>
    <w:rsid w:val="00344591"/>
    <w:rsid w:val="00351255"/>
    <w:rsid w:val="00351563"/>
    <w:rsid w:val="003517DA"/>
    <w:rsid w:val="003526D5"/>
    <w:rsid w:val="00352B1D"/>
    <w:rsid w:val="00352D76"/>
    <w:rsid w:val="00353B5C"/>
    <w:rsid w:val="00353E8C"/>
    <w:rsid w:val="0035504D"/>
    <w:rsid w:val="003608BA"/>
    <w:rsid w:val="00362CD8"/>
    <w:rsid w:val="00362D4C"/>
    <w:rsid w:val="00371DBA"/>
    <w:rsid w:val="0037440D"/>
    <w:rsid w:val="00376B51"/>
    <w:rsid w:val="0037764A"/>
    <w:rsid w:val="00384F28"/>
    <w:rsid w:val="003860B2"/>
    <w:rsid w:val="00387A8F"/>
    <w:rsid w:val="00391559"/>
    <w:rsid w:val="00391CD5"/>
    <w:rsid w:val="0039373B"/>
    <w:rsid w:val="00394068"/>
    <w:rsid w:val="00396D72"/>
    <w:rsid w:val="00397CB9"/>
    <w:rsid w:val="003A016A"/>
    <w:rsid w:val="003A1847"/>
    <w:rsid w:val="003A27BC"/>
    <w:rsid w:val="003A2F36"/>
    <w:rsid w:val="003B0962"/>
    <w:rsid w:val="003B21D4"/>
    <w:rsid w:val="003C112D"/>
    <w:rsid w:val="003C261B"/>
    <w:rsid w:val="003C354A"/>
    <w:rsid w:val="003C3688"/>
    <w:rsid w:val="003C5D09"/>
    <w:rsid w:val="003D126B"/>
    <w:rsid w:val="003D2A84"/>
    <w:rsid w:val="003D3487"/>
    <w:rsid w:val="003D44D2"/>
    <w:rsid w:val="003D4618"/>
    <w:rsid w:val="003D5114"/>
    <w:rsid w:val="003E161E"/>
    <w:rsid w:val="003E1F66"/>
    <w:rsid w:val="003E2114"/>
    <w:rsid w:val="003E7A75"/>
    <w:rsid w:val="003F196C"/>
    <w:rsid w:val="003F6066"/>
    <w:rsid w:val="00401DDB"/>
    <w:rsid w:val="004024D3"/>
    <w:rsid w:val="004043C4"/>
    <w:rsid w:val="004047DE"/>
    <w:rsid w:val="00404925"/>
    <w:rsid w:val="004054C3"/>
    <w:rsid w:val="0040760B"/>
    <w:rsid w:val="00410A29"/>
    <w:rsid w:val="004122A0"/>
    <w:rsid w:val="004173E4"/>
    <w:rsid w:val="004177FC"/>
    <w:rsid w:val="0042391C"/>
    <w:rsid w:val="0042502E"/>
    <w:rsid w:val="004277D0"/>
    <w:rsid w:val="00433090"/>
    <w:rsid w:val="004353CB"/>
    <w:rsid w:val="0044029A"/>
    <w:rsid w:val="0044604E"/>
    <w:rsid w:val="00447210"/>
    <w:rsid w:val="00452144"/>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878CF"/>
    <w:rsid w:val="004900DF"/>
    <w:rsid w:val="00491079"/>
    <w:rsid w:val="004933BE"/>
    <w:rsid w:val="004A0E81"/>
    <w:rsid w:val="004A1DB8"/>
    <w:rsid w:val="004A4AC7"/>
    <w:rsid w:val="004A52D3"/>
    <w:rsid w:val="004B03FD"/>
    <w:rsid w:val="004B2204"/>
    <w:rsid w:val="004B2360"/>
    <w:rsid w:val="004B2688"/>
    <w:rsid w:val="004B33EC"/>
    <w:rsid w:val="004B3A9D"/>
    <w:rsid w:val="004B48CD"/>
    <w:rsid w:val="004C2E09"/>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0876"/>
    <w:rsid w:val="00524215"/>
    <w:rsid w:val="00526E5A"/>
    <w:rsid w:val="005322AA"/>
    <w:rsid w:val="00541834"/>
    <w:rsid w:val="005433C5"/>
    <w:rsid w:val="00544CC3"/>
    <w:rsid w:val="00545F8A"/>
    <w:rsid w:val="005463AC"/>
    <w:rsid w:val="00552FAD"/>
    <w:rsid w:val="00556D25"/>
    <w:rsid w:val="00562AB0"/>
    <w:rsid w:val="0056756F"/>
    <w:rsid w:val="00571653"/>
    <w:rsid w:val="00571A61"/>
    <w:rsid w:val="00571C81"/>
    <w:rsid w:val="0057346D"/>
    <w:rsid w:val="005761A6"/>
    <w:rsid w:val="0057623F"/>
    <w:rsid w:val="00582C35"/>
    <w:rsid w:val="00585345"/>
    <w:rsid w:val="00593AD0"/>
    <w:rsid w:val="00593B7A"/>
    <w:rsid w:val="00595161"/>
    <w:rsid w:val="005967A2"/>
    <w:rsid w:val="00597872"/>
    <w:rsid w:val="005A3E20"/>
    <w:rsid w:val="005A73D9"/>
    <w:rsid w:val="005A7DFC"/>
    <w:rsid w:val="005B3722"/>
    <w:rsid w:val="005C108D"/>
    <w:rsid w:val="005C58DE"/>
    <w:rsid w:val="005C6D17"/>
    <w:rsid w:val="005D0C21"/>
    <w:rsid w:val="005D2D0B"/>
    <w:rsid w:val="005D53EE"/>
    <w:rsid w:val="005D621D"/>
    <w:rsid w:val="005D632A"/>
    <w:rsid w:val="005D78FE"/>
    <w:rsid w:val="005E463C"/>
    <w:rsid w:val="005E4E4C"/>
    <w:rsid w:val="005E586B"/>
    <w:rsid w:val="005E6290"/>
    <w:rsid w:val="005F01ED"/>
    <w:rsid w:val="005F0D48"/>
    <w:rsid w:val="005F24DD"/>
    <w:rsid w:val="0060091E"/>
    <w:rsid w:val="00610DAB"/>
    <w:rsid w:val="0061660C"/>
    <w:rsid w:val="006166FD"/>
    <w:rsid w:val="00616DE9"/>
    <w:rsid w:val="0061757F"/>
    <w:rsid w:val="006326AB"/>
    <w:rsid w:val="00633FE2"/>
    <w:rsid w:val="0063504F"/>
    <w:rsid w:val="00636956"/>
    <w:rsid w:val="00643649"/>
    <w:rsid w:val="006441ED"/>
    <w:rsid w:val="00645CD2"/>
    <w:rsid w:val="0065085F"/>
    <w:rsid w:val="00654361"/>
    <w:rsid w:val="0065695B"/>
    <w:rsid w:val="00657472"/>
    <w:rsid w:val="00657A40"/>
    <w:rsid w:val="00657E48"/>
    <w:rsid w:val="00660A8B"/>
    <w:rsid w:val="0066206E"/>
    <w:rsid w:val="006625D1"/>
    <w:rsid w:val="0066301D"/>
    <w:rsid w:val="00664ACE"/>
    <w:rsid w:val="00664B05"/>
    <w:rsid w:val="006743AD"/>
    <w:rsid w:val="00677B8D"/>
    <w:rsid w:val="0068242A"/>
    <w:rsid w:val="00682613"/>
    <w:rsid w:val="00682B57"/>
    <w:rsid w:val="006847A3"/>
    <w:rsid w:val="00690277"/>
    <w:rsid w:val="0069219F"/>
    <w:rsid w:val="00694F2C"/>
    <w:rsid w:val="00695762"/>
    <w:rsid w:val="006A17A6"/>
    <w:rsid w:val="006A30AF"/>
    <w:rsid w:val="006A5610"/>
    <w:rsid w:val="006A5F96"/>
    <w:rsid w:val="006A7FE2"/>
    <w:rsid w:val="006B1170"/>
    <w:rsid w:val="006B48FD"/>
    <w:rsid w:val="006B59A1"/>
    <w:rsid w:val="006C4740"/>
    <w:rsid w:val="006C481B"/>
    <w:rsid w:val="006D18CA"/>
    <w:rsid w:val="006D3D3E"/>
    <w:rsid w:val="006D44BA"/>
    <w:rsid w:val="006D5157"/>
    <w:rsid w:val="006D5350"/>
    <w:rsid w:val="006D6890"/>
    <w:rsid w:val="006E1A6B"/>
    <w:rsid w:val="006E4366"/>
    <w:rsid w:val="006E5E38"/>
    <w:rsid w:val="006E618B"/>
    <w:rsid w:val="006F0BC4"/>
    <w:rsid w:val="006F17FA"/>
    <w:rsid w:val="006F222E"/>
    <w:rsid w:val="006F49F1"/>
    <w:rsid w:val="006F4E16"/>
    <w:rsid w:val="00702CB8"/>
    <w:rsid w:val="00707885"/>
    <w:rsid w:val="0071023A"/>
    <w:rsid w:val="007107A7"/>
    <w:rsid w:val="007119D4"/>
    <w:rsid w:val="00712430"/>
    <w:rsid w:val="007153BD"/>
    <w:rsid w:val="00716E65"/>
    <w:rsid w:val="007172A4"/>
    <w:rsid w:val="007221CD"/>
    <w:rsid w:val="007244F6"/>
    <w:rsid w:val="00724928"/>
    <w:rsid w:val="00725832"/>
    <w:rsid w:val="00726D46"/>
    <w:rsid w:val="00732C90"/>
    <w:rsid w:val="007370BC"/>
    <w:rsid w:val="007423B2"/>
    <w:rsid w:val="00743D88"/>
    <w:rsid w:val="007456E2"/>
    <w:rsid w:val="00747707"/>
    <w:rsid w:val="00753769"/>
    <w:rsid w:val="007565C2"/>
    <w:rsid w:val="00761029"/>
    <w:rsid w:val="0076148F"/>
    <w:rsid w:val="007656EC"/>
    <w:rsid w:val="00770B59"/>
    <w:rsid w:val="00771219"/>
    <w:rsid w:val="00771843"/>
    <w:rsid w:val="0077695D"/>
    <w:rsid w:val="007776A6"/>
    <w:rsid w:val="0078171A"/>
    <w:rsid w:val="00782183"/>
    <w:rsid w:val="007831EE"/>
    <w:rsid w:val="00783B76"/>
    <w:rsid w:val="00783F35"/>
    <w:rsid w:val="007842F4"/>
    <w:rsid w:val="007858E5"/>
    <w:rsid w:val="00787861"/>
    <w:rsid w:val="00791D68"/>
    <w:rsid w:val="0079272B"/>
    <w:rsid w:val="007949EF"/>
    <w:rsid w:val="00795361"/>
    <w:rsid w:val="0079633F"/>
    <w:rsid w:val="0079657F"/>
    <w:rsid w:val="00796C3C"/>
    <w:rsid w:val="007A48EF"/>
    <w:rsid w:val="007A4E31"/>
    <w:rsid w:val="007A508C"/>
    <w:rsid w:val="007A5C06"/>
    <w:rsid w:val="007A5D52"/>
    <w:rsid w:val="007A5E35"/>
    <w:rsid w:val="007B19A0"/>
    <w:rsid w:val="007B3652"/>
    <w:rsid w:val="007B59B6"/>
    <w:rsid w:val="007B7ADB"/>
    <w:rsid w:val="007C506D"/>
    <w:rsid w:val="007C52E9"/>
    <w:rsid w:val="007D1031"/>
    <w:rsid w:val="007E2555"/>
    <w:rsid w:val="007E3756"/>
    <w:rsid w:val="007F16DF"/>
    <w:rsid w:val="007F2A06"/>
    <w:rsid w:val="008044DD"/>
    <w:rsid w:val="00804BA1"/>
    <w:rsid w:val="00805E5D"/>
    <w:rsid w:val="00812490"/>
    <w:rsid w:val="00812ECD"/>
    <w:rsid w:val="008132AD"/>
    <w:rsid w:val="00823513"/>
    <w:rsid w:val="0082390C"/>
    <w:rsid w:val="00823FCF"/>
    <w:rsid w:val="00826763"/>
    <w:rsid w:val="00827112"/>
    <w:rsid w:val="00827496"/>
    <w:rsid w:val="00831A63"/>
    <w:rsid w:val="008321A8"/>
    <w:rsid w:val="00835D9A"/>
    <w:rsid w:val="00835EF3"/>
    <w:rsid w:val="008374BC"/>
    <w:rsid w:val="008419E4"/>
    <w:rsid w:val="00844319"/>
    <w:rsid w:val="008454F5"/>
    <w:rsid w:val="00846CF1"/>
    <w:rsid w:val="00847741"/>
    <w:rsid w:val="00855241"/>
    <w:rsid w:val="008555CF"/>
    <w:rsid w:val="00856EFD"/>
    <w:rsid w:val="00857F3C"/>
    <w:rsid w:val="00864A7D"/>
    <w:rsid w:val="00871839"/>
    <w:rsid w:val="00875551"/>
    <w:rsid w:val="00876AC8"/>
    <w:rsid w:val="008829C7"/>
    <w:rsid w:val="00882F9C"/>
    <w:rsid w:val="00885028"/>
    <w:rsid w:val="00886C11"/>
    <w:rsid w:val="00891455"/>
    <w:rsid w:val="008926ED"/>
    <w:rsid w:val="0089569C"/>
    <w:rsid w:val="00895E5B"/>
    <w:rsid w:val="00896802"/>
    <w:rsid w:val="008A3B96"/>
    <w:rsid w:val="008A63DF"/>
    <w:rsid w:val="008A68FF"/>
    <w:rsid w:val="008B1002"/>
    <w:rsid w:val="008B2C0A"/>
    <w:rsid w:val="008B577E"/>
    <w:rsid w:val="008B582B"/>
    <w:rsid w:val="008B5BDF"/>
    <w:rsid w:val="008C37DF"/>
    <w:rsid w:val="008C5656"/>
    <w:rsid w:val="008C6C31"/>
    <w:rsid w:val="008C7A02"/>
    <w:rsid w:val="008C7EA6"/>
    <w:rsid w:val="008D0268"/>
    <w:rsid w:val="008D1558"/>
    <w:rsid w:val="008D2417"/>
    <w:rsid w:val="008D3E90"/>
    <w:rsid w:val="008D4CB6"/>
    <w:rsid w:val="008E033C"/>
    <w:rsid w:val="008E0954"/>
    <w:rsid w:val="008E146A"/>
    <w:rsid w:val="008E24D2"/>
    <w:rsid w:val="008E385E"/>
    <w:rsid w:val="008E4D86"/>
    <w:rsid w:val="008E6B67"/>
    <w:rsid w:val="008F09C6"/>
    <w:rsid w:val="008F2B9A"/>
    <w:rsid w:val="008F3EE5"/>
    <w:rsid w:val="008F6322"/>
    <w:rsid w:val="00905001"/>
    <w:rsid w:val="00906A2B"/>
    <w:rsid w:val="009116A2"/>
    <w:rsid w:val="00911A6A"/>
    <w:rsid w:val="0091343C"/>
    <w:rsid w:val="00913874"/>
    <w:rsid w:val="00921D38"/>
    <w:rsid w:val="0092562C"/>
    <w:rsid w:val="00927D4F"/>
    <w:rsid w:val="00930989"/>
    <w:rsid w:val="00931A61"/>
    <w:rsid w:val="00932110"/>
    <w:rsid w:val="0093778A"/>
    <w:rsid w:val="0094026B"/>
    <w:rsid w:val="0094059F"/>
    <w:rsid w:val="00943F1C"/>
    <w:rsid w:val="00944EBE"/>
    <w:rsid w:val="00946375"/>
    <w:rsid w:val="009478B4"/>
    <w:rsid w:val="00951B33"/>
    <w:rsid w:val="00951F28"/>
    <w:rsid w:val="00952B22"/>
    <w:rsid w:val="00952C12"/>
    <w:rsid w:val="009540EB"/>
    <w:rsid w:val="009607D7"/>
    <w:rsid w:val="00971C9B"/>
    <w:rsid w:val="009727D3"/>
    <w:rsid w:val="009729A4"/>
    <w:rsid w:val="00973416"/>
    <w:rsid w:val="00973678"/>
    <w:rsid w:val="00974016"/>
    <w:rsid w:val="00974649"/>
    <w:rsid w:val="00977AED"/>
    <w:rsid w:val="00983AB6"/>
    <w:rsid w:val="0099613A"/>
    <w:rsid w:val="00997518"/>
    <w:rsid w:val="009A379F"/>
    <w:rsid w:val="009A768F"/>
    <w:rsid w:val="009A7921"/>
    <w:rsid w:val="009B20D3"/>
    <w:rsid w:val="009B4050"/>
    <w:rsid w:val="009B592C"/>
    <w:rsid w:val="009C0409"/>
    <w:rsid w:val="009C12E9"/>
    <w:rsid w:val="009C7E18"/>
    <w:rsid w:val="009D1667"/>
    <w:rsid w:val="009D1D06"/>
    <w:rsid w:val="009D2E8A"/>
    <w:rsid w:val="009D3B18"/>
    <w:rsid w:val="009D3F39"/>
    <w:rsid w:val="009D457D"/>
    <w:rsid w:val="009D681C"/>
    <w:rsid w:val="009E0BD5"/>
    <w:rsid w:val="009E1C7F"/>
    <w:rsid w:val="009E361D"/>
    <w:rsid w:val="009E62EA"/>
    <w:rsid w:val="009E70A1"/>
    <w:rsid w:val="009F21F0"/>
    <w:rsid w:val="009F2583"/>
    <w:rsid w:val="009F3D83"/>
    <w:rsid w:val="009F682E"/>
    <w:rsid w:val="009F7417"/>
    <w:rsid w:val="009F77A8"/>
    <w:rsid w:val="00A02FD6"/>
    <w:rsid w:val="00A04153"/>
    <w:rsid w:val="00A12916"/>
    <w:rsid w:val="00A13E7F"/>
    <w:rsid w:val="00A14BAC"/>
    <w:rsid w:val="00A15B61"/>
    <w:rsid w:val="00A16062"/>
    <w:rsid w:val="00A2166F"/>
    <w:rsid w:val="00A21C1D"/>
    <w:rsid w:val="00A232A8"/>
    <w:rsid w:val="00A24B55"/>
    <w:rsid w:val="00A265BE"/>
    <w:rsid w:val="00A304AA"/>
    <w:rsid w:val="00A31617"/>
    <w:rsid w:val="00A33083"/>
    <w:rsid w:val="00A35892"/>
    <w:rsid w:val="00A37956"/>
    <w:rsid w:val="00A413E0"/>
    <w:rsid w:val="00A433AA"/>
    <w:rsid w:val="00A447B6"/>
    <w:rsid w:val="00A44D2B"/>
    <w:rsid w:val="00A457AA"/>
    <w:rsid w:val="00A46196"/>
    <w:rsid w:val="00A47168"/>
    <w:rsid w:val="00A53CF7"/>
    <w:rsid w:val="00A55855"/>
    <w:rsid w:val="00A57AC7"/>
    <w:rsid w:val="00A61620"/>
    <w:rsid w:val="00A62876"/>
    <w:rsid w:val="00A64805"/>
    <w:rsid w:val="00A7369A"/>
    <w:rsid w:val="00A73F5F"/>
    <w:rsid w:val="00A76236"/>
    <w:rsid w:val="00A76F72"/>
    <w:rsid w:val="00A836AD"/>
    <w:rsid w:val="00A91FBB"/>
    <w:rsid w:val="00A9486C"/>
    <w:rsid w:val="00A967C7"/>
    <w:rsid w:val="00A9708D"/>
    <w:rsid w:val="00AA2C67"/>
    <w:rsid w:val="00AA4952"/>
    <w:rsid w:val="00AA5486"/>
    <w:rsid w:val="00AB0F46"/>
    <w:rsid w:val="00AB16F9"/>
    <w:rsid w:val="00AB23D7"/>
    <w:rsid w:val="00AB243A"/>
    <w:rsid w:val="00AB5BB9"/>
    <w:rsid w:val="00AB6431"/>
    <w:rsid w:val="00AB762C"/>
    <w:rsid w:val="00AC1484"/>
    <w:rsid w:val="00AC3144"/>
    <w:rsid w:val="00AC52D7"/>
    <w:rsid w:val="00AC55B7"/>
    <w:rsid w:val="00AC6EA7"/>
    <w:rsid w:val="00AC7369"/>
    <w:rsid w:val="00AD1095"/>
    <w:rsid w:val="00AD5E29"/>
    <w:rsid w:val="00AD6766"/>
    <w:rsid w:val="00AE2A5A"/>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5F6C"/>
    <w:rsid w:val="00B2763C"/>
    <w:rsid w:val="00B27F58"/>
    <w:rsid w:val="00B31866"/>
    <w:rsid w:val="00B3257D"/>
    <w:rsid w:val="00B328F8"/>
    <w:rsid w:val="00B43B1B"/>
    <w:rsid w:val="00B45029"/>
    <w:rsid w:val="00B472A4"/>
    <w:rsid w:val="00B47314"/>
    <w:rsid w:val="00B47EEE"/>
    <w:rsid w:val="00B51A9A"/>
    <w:rsid w:val="00B5450D"/>
    <w:rsid w:val="00B54542"/>
    <w:rsid w:val="00B55DC5"/>
    <w:rsid w:val="00B57F87"/>
    <w:rsid w:val="00B57FCF"/>
    <w:rsid w:val="00B601F1"/>
    <w:rsid w:val="00B6026B"/>
    <w:rsid w:val="00B61D5A"/>
    <w:rsid w:val="00B703D4"/>
    <w:rsid w:val="00B7058E"/>
    <w:rsid w:val="00B728C8"/>
    <w:rsid w:val="00B75224"/>
    <w:rsid w:val="00B757EC"/>
    <w:rsid w:val="00B77BD4"/>
    <w:rsid w:val="00B82E7B"/>
    <w:rsid w:val="00B85AA5"/>
    <w:rsid w:val="00B8613C"/>
    <w:rsid w:val="00B863CA"/>
    <w:rsid w:val="00B872B1"/>
    <w:rsid w:val="00B92990"/>
    <w:rsid w:val="00B9562C"/>
    <w:rsid w:val="00B969F0"/>
    <w:rsid w:val="00BA0117"/>
    <w:rsid w:val="00BA05C6"/>
    <w:rsid w:val="00BA1233"/>
    <w:rsid w:val="00BA161A"/>
    <w:rsid w:val="00BA5459"/>
    <w:rsid w:val="00BA5775"/>
    <w:rsid w:val="00BA5AB5"/>
    <w:rsid w:val="00BA651D"/>
    <w:rsid w:val="00BB0721"/>
    <w:rsid w:val="00BB2E65"/>
    <w:rsid w:val="00BB611A"/>
    <w:rsid w:val="00BB6D17"/>
    <w:rsid w:val="00BB7245"/>
    <w:rsid w:val="00BB7570"/>
    <w:rsid w:val="00BC0D80"/>
    <w:rsid w:val="00BC0E15"/>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BF7B01"/>
    <w:rsid w:val="00C00C96"/>
    <w:rsid w:val="00C019EF"/>
    <w:rsid w:val="00C033E5"/>
    <w:rsid w:val="00C04A1F"/>
    <w:rsid w:val="00C04A31"/>
    <w:rsid w:val="00C0554A"/>
    <w:rsid w:val="00C07E88"/>
    <w:rsid w:val="00C1059F"/>
    <w:rsid w:val="00C11D58"/>
    <w:rsid w:val="00C13A33"/>
    <w:rsid w:val="00C1408A"/>
    <w:rsid w:val="00C150AD"/>
    <w:rsid w:val="00C160A4"/>
    <w:rsid w:val="00C219D7"/>
    <w:rsid w:val="00C25CB5"/>
    <w:rsid w:val="00C26F3B"/>
    <w:rsid w:val="00C30BF8"/>
    <w:rsid w:val="00C32582"/>
    <w:rsid w:val="00C33A99"/>
    <w:rsid w:val="00C34A6E"/>
    <w:rsid w:val="00C421CA"/>
    <w:rsid w:val="00C4344F"/>
    <w:rsid w:val="00C46385"/>
    <w:rsid w:val="00C5084D"/>
    <w:rsid w:val="00C508D6"/>
    <w:rsid w:val="00C51A75"/>
    <w:rsid w:val="00C5255D"/>
    <w:rsid w:val="00C5462E"/>
    <w:rsid w:val="00C600DD"/>
    <w:rsid w:val="00C603EB"/>
    <w:rsid w:val="00C606EA"/>
    <w:rsid w:val="00C664BB"/>
    <w:rsid w:val="00C675CC"/>
    <w:rsid w:val="00C7069F"/>
    <w:rsid w:val="00C71718"/>
    <w:rsid w:val="00C7538F"/>
    <w:rsid w:val="00C76A20"/>
    <w:rsid w:val="00C77C7E"/>
    <w:rsid w:val="00C77D2A"/>
    <w:rsid w:val="00C809FF"/>
    <w:rsid w:val="00C85C5A"/>
    <w:rsid w:val="00C9580A"/>
    <w:rsid w:val="00C9704F"/>
    <w:rsid w:val="00CA3C33"/>
    <w:rsid w:val="00CA40C7"/>
    <w:rsid w:val="00CA4181"/>
    <w:rsid w:val="00CA4369"/>
    <w:rsid w:val="00CA6583"/>
    <w:rsid w:val="00CB23CC"/>
    <w:rsid w:val="00CB28C9"/>
    <w:rsid w:val="00CB672B"/>
    <w:rsid w:val="00CB7211"/>
    <w:rsid w:val="00CC1A98"/>
    <w:rsid w:val="00CC47B5"/>
    <w:rsid w:val="00CC6723"/>
    <w:rsid w:val="00CC7EC5"/>
    <w:rsid w:val="00CD0661"/>
    <w:rsid w:val="00CD45BE"/>
    <w:rsid w:val="00CD642B"/>
    <w:rsid w:val="00CD6A77"/>
    <w:rsid w:val="00CD6FEB"/>
    <w:rsid w:val="00CE61D3"/>
    <w:rsid w:val="00CE67DD"/>
    <w:rsid w:val="00CF4683"/>
    <w:rsid w:val="00CF5258"/>
    <w:rsid w:val="00CF7148"/>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6713"/>
    <w:rsid w:val="00D270C9"/>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A2B"/>
    <w:rsid w:val="00D72C5E"/>
    <w:rsid w:val="00D74BD3"/>
    <w:rsid w:val="00D75529"/>
    <w:rsid w:val="00D77200"/>
    <w:rsid w:val="00D77E3A"/>
    <w:rsid w:val="00D81724"/>
    <w:rsid w:val="00D8210F"/>
    <w:rsid w:val="00D82705"/>
    <w:rsid w:val="00D97965"/>
    <w:rsid w:val="00DA1668"/>
    <w:rsid w:val="00DA20D3"/>
    <w:rsid w:val="00DA3852"/>
    <w:rsid w:val="00DA49C4"/>
    <w:rsid w:val="00DA63BF"/>
    <w:rsid w:val="00DA6F83"/>
    <w:rsid w:val="00DB4000"/>
    <w:rsid w:val="00DB42BD"/>
    <w:rsid w:val="00DB605C"/>
    <w:rsid w:val="00DC0823"/>
    <w:rsid w:val="00DC21BC"/>
    <w:rsid w:val="00DC3E4C"/>
    <w:rsid w:val="00DC55C7"/>
    <w:rsid w:val="00DC60A4"/>
    <w:rsid w:val="00DC6422"/>
    <w:rsid w:val="00DD0539"/>
    <w:rsid w:val="00DE0D99"/>
    <w:rsid w:val="00DE584B"/>
    <w:rsid w:val="00DF22D8"/>
    <w:rsid w:val="00DF76E3"/>
    <w:rsid w:val="00E02024"/>
    <w:rsid w:val="00E03013"/>
    <w:rsid w:val="00E03104"/>
    <w:rsid w:val="00E03ABA"/>
    <w:rsid w:val="00E04EC2"/>
    <w:rsid w:val="00E07A32"/>
    <w:rsid w:val="00E10213"/>
    <w:rsid w:val="00E108F5"/>
    <w:rsid w:val="00E11808"/>
    <w:rsid w:val="00E21E7C"/>
    <w:rsid w:val="00E27072"/>
    <w:rsid w:val="00E32184"/>
    <w:rsid w:val="00E32185"/>
    <w:rsid w:val="00E32B0F"/>
    <w:rsid w:val="00E32FB2"/>
    <w:rsid w:val="00E34406"/>
    <w:rsid w:val="00E35F66"/>
    <w:rsid w:val="00E42BB9"/>
    <w:rsid w:val="00E43562"/>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2E0"/>
    <w:rsid w:val="00E709E6"/>
    <w:rsid w:val="00E71207"/>
    <w:rsid w:val="00E727A7"/>
    <w:rsid w:val="00E73444"/>
    <w:rsid w:val="00E742A9"/>
    <w:rsid w:val="00E766D1"/>
    <w:rsid w:val="00E77F26"/>
    <w:rsid w:val="00E82A2F"/>
    <w:rsid w:val="00E83787"/>
    <w:rsid w:val="00E855FF"/>
    <w:rsid w:val="00E97A65"/>
    <w:rsid w:val="00EA0966"/>
    <w:rsid w:val="00EA0FFC"/>
    <w:rsid w:val="00EA337F"/>
    <w:rsid w:val="00EA5A90"/>
    <w:rsid w:val="00EB092A"/>
    <w:rsid w:val="00EB1FF2"/>
    <w:rsid w:val="00EB5C7F"/>
    <w:rsid w:val="00EB6387"/>
    <w:rsid w:val="00EB7D50"/>
    <w:rsid w:val="00EC4562"/>
    <w:rsid w:val="00EC6878"/>
    <w:rsid w:val="00ED077F"/>
    <w:rsid w:val="00ED236B"/>
    <w:rsid w:val="00ED58B7"/>
    <w:rsid w:val="00ED5923"/>
    <w:rsid w:val="00ED646D"/>
    <w:rsid w:val="00EE082D"/>
    <w:rsid w:val="00EE2B02"/>
    <w:rsid w:val="00EE31B3"/>
    <w:rsid w:val="00EE472A"/>
    <w:rsid w:val="00EF11A3"/>
    <w:rsid w:val="00EF6DEE"/>
    <w:rsid w:val="00F023B8"/>
    <w:rsid w:val="00F11DC3"/>
    <w:rsid w:val="00F124B4"/>
    <w:rsid w:val="00F20E21"/>
    <w:rsid w:val="00F212C3"/>
    <w:rsid w:val="00F252AD"/>
    <w:rsid w:val="00F320EF"/>
    <w:rsid w:val="00F3218A"/>
    <w:rsid w:val="00F34787"/>
    <w:rsid w:val="00F358CB"/>
    <w:rsid w:val="00F405D2"/>
    <w:rsid w:val="00F47743"/>
    <w:rsid w:val="00F519FB"/>
    <w:rsid w:val="00F52D42"/>
    <w:rsid w:val="00F54E2D"/>
    <w:rsid w:val="00F57119"/>
    <w:rsid w:val="00F60CB5"/>
    <w:rsid w:val="00F738B9"/>
    <w:rsid w:val="00F74241"/>
    <w:rsid w:val="00F77867"/>
    <w:rsid w:val="00F77A11"/>
    <w:rsid w:val="00F77AD1"/>
    <w:rsid w:val="00F804D1"/>
    <w:rsid w:val="00F8766A"/>
    <w:rsid w:val="00F92391"/>
    <w:rsid w:val="00F95A9F"/>
    <w:rsid w:val="00FA0267"/>
    <w:rsid w:val="00FA1FBB"/>
    <w:rsid w:val="00FB3AD9"/>
    <w:rsid w:val="00FC08B7"/>
    <w:rsid w:val="00FC2270"/>
    <w:rsid w:val="00FC5035"/>
    <w:rsid w:val="00FC5B84"/>
    <w:rsid w:val="00FC6A8F"/>
    <w:rsid w:val="00FD12C8"/>
    <w:rsid w:val="00FD413B"/>
    <w:rsid w:val="00FD4E3A"/>
    <w:rsid w:val="00FD54FE"/>
    <w:rsid w:val="00FD6260"/>
    <w:rsid w:val="00FD70D0"/>
    <w:rsid w:val="00FE1743"/>
    <w:rsid w:val="00FE7D95"/>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3863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751341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epp.eurostat.ec.europa.eu/portal/page/portal/eurostat/home"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espon.eu/main/Menu_Projects/" TargetMode="Externa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www.espon.eu"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02CEE5CB-0D20-47DD-A4E9-8B1CD8906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2321</Words>
  <Characters>13231</Characters>
  <Application>Microsoft Office Word</Application>
  <DocSecurity>0</DocSecurity>
  <Lines>110</Lines>
  <Paragraphs>31</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15521</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13</cp:revision>
  <cp:lastPrinted>2012-10-24T12:19:00Z</cp:lastPrinted>
  <dcterms:created xsi:type="dcterms:W3CDTF">2012-11-20T11:42:00Z</dcterms:created>
  <dcterms:modified xsi:type="dcterms:W3CDTF">2012-11-28T16:59:00Z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