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D857F4" w:rsidP="00BC65E1">
      <w:r>
        <w:t xml:space="preserve"> b</w:t>
      </w:r>
    </w:p>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E613A3" w:rsidRPr="00144F49" w:rsidRDefault="00497685" w:rsidP="00497685">
      <w:pPr>
        <w:spacing w:line="240" w:lineRule="auto"/>
        <w:ind w:left="-851"/>
        <w:jc w:val="center"/>
        <w:rPr>
          <w:rFonts w:ascii="Arial" w:hAnsi="Arial" w:cs="Arial"/>
          <w:sz w:val="40"/>
          <w:szCs w:val="40"/>
          <w:lang w:val="en-US"/>
        </w:rPr>
      </w:pPr>
      <w:r w:rsidRPr="00144F49">
        <w:rPr>
          <w:rFonts w:ascii="Arial" w:hAnsi="Arial" w:cs="Arial"/>
          <w:sz w:val="40"/>
          <w:szCs w:val="40"/>
          <w:lang w:val="en-US"/>
        </w:rPr>
        <w:t>Belgium</w:t>
      </w:r>
      <w:r w:rsidR="000767B8" w:rsidRPr="00144F49">
        <w:rPr>
          <w:rFonts w:ascii="Arial" w:hAnsi="Arial" w:cs="Arial"/>
          <w:sz w:val="40"/>
          <w:szCs w:val="40"/>
          <w:lang w:val="en-US"/>
        </w:rPr>
        <w:t xml:space="preserve"> – France </w:t>
      </w:r>
    </w:p>
    <w:p w:rsidR="005070C8" w:rsidRDefault="009231BB"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75136" behindDoc="0" locked="0" layoutInCell="1" allowOverlap="1">
            <wp:simplePos x="0" y="0"/>
            <wp:positionH relativeFrom="column">
              <wp:posOffset>3053715</wp:posOffset>
            </wp:positionH>
            <wp:positionV relativeFrom="paragraph">
              <wp:posOffset>4204335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CC1F45">
        <w:rPr>
          <w:rFonts w:ascii="Arial" w:hAnsi="Arial" w:cs="Arial"/>
          <w:noProof/>
          <w:sz w:val="32"/>
          <w:szCs w:val="32"/>
          <w:lang w:val="en-US"/>
        </w:rPr>
        <w:drawing>
          <wp:inline distT="0" distB="0" distL="0" distR="0">
            <wp:extent cx="3486150" cy="4838700"/>
            <wp:effectExtent l="19050" t="0" r="0" b="0"/>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486150" cy="4838700"/>
                    </a:xfrm>
                    <a:prstGeom prst="rect">
                      <a:avLst/>
                    </a:prstGeom>
                    <a:noFill/>
                    <a:ln w="9525">
                      <a:noFill/>
                      <a:miter lim="800000"/>
                      <a:headEnd/>
                      <a:tailEnd/>
                    </a:ln>
                  </pic:spPr>
                </pic:pic>
              </a:graphicData>
            </a:graphic>
          </wp:inline>
        </w:drawing>
      </w:r>
    </w:p>
    <w:p w:rsidR="00CC1F45" w:rsidRDefault="00CC1F45" w:rsidP="00337519">
      <w:pPr>
        <w:spacing w:after="0" w:line="240" w:lineRule="auto"/>
        <w:ind w:left="-851"/>
        <w:jc w:val="center"/>
        <w:rPr>
          <w:rFonts w:ascii="Arial" w:hAnsi="Arial" w:cs="Arial"/>
          <w:sz w:val="32"/>
          <w:szCs w:val="32"/>
          <w:lang w:val="en-US"/>
        </w:rPr>
      </w:pPr>
    </w:p>
    <w:p w:rsidR="00144F49" w:rsidRDefault="00144F49" w:rsidP="00144F49">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144F49" w:rsidRDefault="00144F49" w:rsidP="00144F49">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363EF5" w:rsidRPr="0085195F" w:rsidRDefault="000A647A" w:rsidP="00363EF5">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363EF5" w:rsidRPr="0085195F">
        <w:t>This is intended as an electronic publication so map quality is generally high to allow users to zoom into specific territories.</w:t>
      </w:r>
    </w:p>
    <w:p w:rsidR="00363EF5" w:rsidRPr="0085195F" w:rsidRDefault="00363EF5" w:rsidP="00363EF5">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C56A4C"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w:t>
      </w:r>
    </w:p>
    <w:p w:rsidR="00C56A4C" w:rsidRDefault="00C56A4C" w:rsidP="00C56A4C">
      <w:r>
        <w:t>In the following the traffic light for each indicator represents how your programme territory compares to wider European and national medians where green = your programme area performs better for that indicator, yellow = similar, and red = worse</w:t>
      </w:r>
      <w:r w:rsidR="00642ECD">
        <w:t>.</w:t>
      </w:r>
    </w:p>
    <w:p w:rsidR="00903C1E" w:rsidRDefault="00903C1E" w:rsidP="00903C1E">
      <w:r>
        <w:t>In creating the traffic</w:t>
      </w:r>
      <w:r w:rsidR="00463F1C">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9128C7" w:rsidRPr="00973E76" w:rsidRDefault="009128C7" w:rsidP="009128C7">
      <w:pPr>
        <w:spacing w:after="240"/>
        <w:rPr>
          <w:lang w:val="en-US"/>
        </w:rPr>
      </w:pPr>
      <w:r>
        <w:t>EU 27+4 in Traffic Lights and box-plots means</w:t>
      </w:r>
      <w:r w:rsidRPr="00021CAB">
        <w:t xml:space="preserve"> the EU Member States a</w:t>
      </w:r>
      <w:r>
        <w:t>s well as</w:t>
      </w:r>
      <w:r w:rsidRPr="00021CAB">
        <w:t xml:space="preserve"> Iceland, Li</w:t>
      </w:r>
      <w:r w:rsidR="003F11FE">
        <w:t>e</w:t>
      </w:r>
      <w:r w:rsidRPr="00021CAB">
        <w:t xml:space="preserve">chtenstein, Norway and Switzerland – the </w:t>
      </w:r>
      <w:r>
        <w:t>ESPON space</w:t>
      </w:r>
      <w:r w:rsidRPr="00973E76">
        <w:rPr>
          <w:lang w:val="en-US"/>
        </w:rPr>
        <w:t>.</w:t>
      </w:r>
    </w:p>
    <w:p w:rsidR="00337872" w:rsidRDefault="00337872" w:rsidP="00337872">
      <w:pPr>
        <w:pStyle w:val="Heading3"/>
      </w:pPr>
      <w:r w:rsidRPr="00072C95">
        <w:t>Smart growth</w:t>
      </w:r>
      <w:r w:rsidRPr="00337872">
        <w:t xml:space="preserve"> </w:t>
      </w:r>
    </w:p>
    <w:p w:rsidR="00337872" w:rsidRDefault="00203F0C" w:rsidP="00C33A99">
      <w:r>
        <w:rPr>
          <w:noProof/>
          <w:lang w:val="en-US"/>
        </w:rPr>
        <w:drawing>
          <wp:anchor distT="0" distB="0" distL="114300" distR="114300" simplePos="0" relativeHeight="251684352" behindDoc="1" locked="0" layoutInCell="1" allowOverlap="1">
            <wp:simplePos x="0" y="0"/>
            <wp:positionH relativeFrom="column">
              <wp:posOffset>-16510</wp:posOffset>
            </wp:positionH>
            <wp:positionV relativeFrom="paragraph">
              <wp:posOffset>527685</wp:posOffset>
            </wp:positionV>
            <wp:extent cx="5272405" cy="2710815"/>
            <wp:effectExtent l="19050" t="0" r="4445" b="0"/>
            <wp:wrapTight wrapText="bothSides">
              <wp:wrapPolygon edited="0">
                <wp:start x="-78" y="0"/>
                <wp:lineTo x="-78" y="21403"/>
                <wp:lineTo x="21618" y="21403"/>
                <wp:lineTo x="21618" y="0"/>
                <wp:lineTo x="-78" y="0"/>
              </wp:wrapPolygon>
            </wp:wrapTight>
            <wp:docPr id="8" name="Bild 1" descr="P:\LU_2011_ESPON_TerrEvi_100269\03_Project development\WorkinProgress_FactSheets\Factsheets_CBC_neu\TL_CBC4\France_Wallonie_Vlaander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France_Wallonie_Vlaanderen 1.png"/>
                    <pic:cNvPicPr>
                      <a:picLocks noChangeAspect="1" noChangeArrowheads="1"/>
                    </pic:cNvPicPr>
                  </pic:nvPicPr>
                  <pic:blipFill>
                    <a:blip r:embed="rId16" cstate="print"/>
                    <a:srcRect/>
                    <a:stretch>
                      <a:fillRect/>
                    </a:stretch>
                  </pic:blipFill>
                  <pic:spPr bwMode="auto">
                    <a:xfrm>
                      <a:off x="0" y="0"/>
                      <a:ext cx="5272405" cy="2710815"/>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E3454" w:rsidRDefault="005E3454" w:rsidP="005E3454">
      <w:pPr>
        <w:spacing w:before="120"/>
      </w:pPr>
      <w:r w:rsidRPr="00E9150A">
        <w:t xml:space="preserve">According to all indicators reported above, the </w:t>
      </w:r>
      <w:r>
        <w:t>France-Wallonie-Vlaanderen</w:t>
      </w:r>
      <w:r w:rsidRPr="00E9150A">
        <w:t xml:space="preserve"> CBC area performs </w:t>
      </w:r>
      <w:r>
        <w:t>similarly to</w:t>
      </w:r>
      <w:r w:rsidRPr="00E9150A">
        <w:t xml:space="preserve"> the EU27+4 space and all CBC </w:t>
      </w:r>
      <w:r>
        <w:t>areas</w:t>
      </w:r>
      <w:r w:rsidRPr="00E9150A">
        <w:t xml:space="preserve">. </w:t>
      </w:r>
    </w:p>
    <w:p w:rsidR="005E3454" w:rsidRPr="00382FE0" w:rsidRDefault="005E3454" w:rsidP="005E3454">
      <w:pPr>
        <w:spacing w:before="120"/>
      </w:pPr>
      <w:r w:rsidRPr="00E9150A">
        <w:t xml:space="preserve">Considering the </w:t>
      </w:r>
      <w:r>
        <w:t>objective of R&amp;D expenditure of</w:t>
      </w:r>
      <w:r w:rsidRPr="00E9150A">
        <w:t xml:space="preserve"> percentage of the GDP - one of the five headline targets in </w:t>
      </w:r>
      <w:r w:rsidRPr="00382FE0">
        <w:t xml:space="preserve">the Europe 2020 Strategy - the CBC area is </w:t>
      </w:r>
      <w:r>
        <w:t>doing as good as</w:t>
      </w:r>
      <w:r w:rsidRPr="00382FE0">
        <w:t xml:space="preserve"> the EU27+4 space and all CBC</w:t>
      </w:r>
      <w:r>
        <w:t>s</w:t>
      </w:r>
      <w:r w:rsidRPr="00382FE0">
        <w:t xml:space="preserve">. </w:t>
      </w:r>
      <w:r>
        <w:t>However, the CBC area is characteris</w:t>
      </w:r>
      <w:r w:rsidRPr="00382FE0">
        <w:t xml:space="preserve">ed </w:t>
      </w:r>
      <w:r w:rsidRPr="00382FE0">
        <w:lastRenderedPageBreak/>
        <w:t xml:space="preserve">by a high level of internal disparity and </w:t>
      </w:r>
      <w:r>
        <w:t>under</w:t>
      </w:r>
      <w:r w:rsidRPr="00382FE0">
        <w:t xml:space="preserve">performs </w:t>
      </w:r>
      <w:r>
        <w:t>when compared to Belgium and France</w:t>
      </w:r>
      <w:r w:rsidRPr="00382FE0">
        <w:t>. Concerning the ratio of employment in knowledge-intensive service to the total employment in 2010, the CBC area has higher values than the EU27+4 space and all CB</w:t>
      </w:r>
      <w:r>
        <w:t>Cs; slightly lower than Belgium but</w:t>
      </w:r>
      <w:r w:rsidRPr="00382FE0">
        <w:t xml:space="preserve"> higher than France. The distribution inside the CBC results in a low level of internal disparity. In terms of the percentage of individuals regularly using internet in 2011, the CBC area </w:t>
      </w:r>
      <w:r>
        <w:t xml:space="preserve">the same </w:t>
      </w:r>
      <w:r w:rsidRPr="00382FE0">
        <w:t xml:space="preserve">values than EU27+4 space, all CBCs, </w:t>
      </w:r>
      <w:r>
        <w:t>and</w:t>
      </w:r>
      <w:r w:rsidRPr="00382FE0">
        <w:t xml:space="preserve"> France, but it performs slightly worse than </w:t>
      </w:r>
      <w:r>
        <w:t>Belgium</w:t>
      </w:r>
      <w:r w:rsidRPr="00382FE0">
        <w:t>, with a low internal disparity.</w:t>
      </w:r>
    </w:p>
    <w:p w:rsidR="00AB7D5A" w:rsidRDefault="00AB7D5A" w:rsidP="00AB7D5A">
      <w:r w:rsidRPr="00382FE0">
        <w:t xml:space="preserve">According to the classification of the KIT project, MAP 1 identifies two territorial patterns of innovation:  </w:t>
      </w:r>
    </w:p>
    <w:p w:rsidR="00AB7D5A" w:rsidRPr="00D14256" w:rsidRDefault="00AB7D5A" w:rsidP="00AB7D5A">
      <w:pPr>
        <w:pStyle w:val="ListParagraph"/>
        <w:numPr>
          <w:ilvl w:val="0"/>
          <w:numId w:val="14"/>
        </w:numPr>
        <w:spacing w:line="240" w:lineRule="atLeast"/>
        <w:rPr>
          <w:szCs w:val="20"/>
        </w:rPr>
      </w:pPr>
      <w:r w:rsidRPr="00AD2C00">
        <w:rPr>
          <w:rFonts w:cstheme="minorHAnsi"/>
          <w:szCs w:val="20"/>
        </w:rPr>
        <w:t xml:space="preserve">‘Applied science area’, in </w:t>
      </w:r>
      <w:r>
        <w:rPr>
          <w:rFonts w:cstheme="minorHAnsi"/>
          <w:szCs w:val="20"/>
        </w:rPr>
        <w:t>Belgian Flanders</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AB7D5A" w:rsidRPr="005E3454" w:rsidRDefault="00AB7D5A" w:rsidP="00AB7D5A">
      <w:pPr>
        <w:pStyle w:val="ListParagraph"/>
        <w:numPr>
          <w:ilvl w:val="0"/>
          <w:numId w:val="14"/>
        </w:numPr>
        <w:spacing w:line="240" w:lineRule="atLeast"/>
        <w:rPr>
          <w:szCs w:val="20"/>
        </w:rPr>
      </w:pPr>
      <w:r w:rsidRPr="00382FE0">
        <w:rPr>
          <w:rFonts w:cstheme="minorHAnsi"/>
          <w:szCs w:val="20"/>
        </w:rPr>
        <w:t>‘Smart and creative diversification area’ in the French side</w:t>
      </w:r>
      <w:r>
        <w:rPr>
          <w:rFonts w:cstheme="minorHAnsi"/>
          <w:szCs w:val="20"/>
        </w:rPr>
        <w:t xml:space="preserve"> plus the two Walloon districts of Philippeville and Dinant</w:t>
      </w:r>
      <w:r w:rsidRPr="00382FE0">
        <w:rPr>
          <w:rFonts w:cstheme="minorHAnsi"/>
          <w:szCs w:val="20"/>
        </w:rPr>
        <w:t>. It</w:t>
      </w:r>
      <w:r>
        <w:rPr>
          <w:rFonts w:cstheme="minorHAnsi"/>
          <w:szCs w:val="20"/>
        </w:rPr>
        <w:t xml:space="preserve">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AB7D5A" w:rsidRPr="005E3454" w:rsidRDefault="00AB7D5A" w:rsidP="00AB7D5A">
      <w:pPr>
        <w:pStyle w:val="ListParagraph"/>
        <w:numPr>
          <w:ilvl w:val="0"/>
          <w:numId w:val="14"/>
        </w:numPr>
        <w:spacing w:line="240" w:lineRule="atLeast"/>
        <w:rPr>
          <w:szCs w:val="20"/>
        </w:rPr>
      </w:pPr>
      <w:r w:rsidRPr="005E3454">
        <w:rPr>
          <w:rFonts w:cstheme="minorHAnsi"/>
          <w:szCs w:val="20"/>
        </w:rPr>
        <w:t>‘Smart technological application area’, in the remaining Belgian parts. It is defined by a high product innovation level, with a limited degree of local applied science and R&amp;D endowment, and a high creativity which allows translating external basic science and applied science knowledge into innovation.</w:t>
      </w:r>
    </w:p>
    <w:p w:rsidR="005A5FC4" w:rsidRDefault="005A5FC4" w:rsidP="00C33A99"/>
    <w:p w:rsidR="005A5FC4" w:rsidRDefault="005A5FC4" w:rsidP="00C33A99"/>
    <w:p w:rsidR="005A5FC4" w:rsidRDefault="005A5FC4">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0767B8">
        <w:rPr>
          <w:b/>
        </w:rPr>
        <w:t xml:space="preserve">Belgium – France </w:t>
      </w:r>
    </w:p>
    <w:p w:rsidR="008A3B96" w:rsidRDefault="008A3B96" w:rsidP="008A3B96"/>
    <w:p w:rsidR="008A3B96" w:rsidRDefault="00241F55" w:rsidP="008A3B96">
      <w:pPr>
        <w:spacing w:after="0" w:line="240" w:lineRule="auto"/>
      </w:pPr>
      <w:r w:rsidRPr="00241F55">
        <w:rPr>
          <w:noProof/>
          <w:lang w:val="de-DE" w:eastAsia="de-DE"/>
        </w:rPr>
        <w:pict>
          <v:oval id="_x0000_s1032" style="position:absolute;left:0;text-align:left;margin-left:122.4pt;margin-top:213.8pt;width:32.3pt;height:36.25pt;rotation:-2298360fd;z-index:251676160" filled="f" strokecolor="#0070c0" strokeweight="2pt"/>
        </w:pict>
      </w:r>
      <w:r w:rsidR="00D857F4">
        <w:rPr>
          <w:noProof/>
          <w:lang w:val="en-US"/>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C97D73">
        <w:lastRenderedPageBreak/>
        <w:t>Sustainable growth</w:t>
      </w:r>
      <w:r w:rsidRPr="00337872">
        <w:t xml:space="preserve"> </w:t>
      </w:r>
    </w:p>
    <w:p w:rsidR="004F26B8" w:rsidRDefault="00410C12" w:rsidP="00C00C96">
      <w:r>
        <w:rPr>
          <w:noProof/>
          <w:lang w:val="en-US"/>
        </w:rPr>
        <w:drawing>
          <wp:anchor distT="0" distB="0" distL="114300" distR="114300" simplePos="0" relativeHeight="251685376" behindDoc="1" locked="0" layoutInCell="1" allowOverlap="1">
            <wp:simplePos x="0" y="0"/>
            <wp:positionH relativeFrom="column">
              <wp:posOffset>-19050</wp:posOffset>
            </wp:positionH>
            <wp:positionV relativeFrom="paragraph">
              <wp:posOffset>1263015</wp:posOffset>
            </wp:positionV>
            <wp:extent cx="5273675" cy="2934335"/>
            <wp:effectExtent l="19050" t="0" r="3175" b="0"/>
            <wp:wrapTight wrapText="bothSides">
              <wp:wrapPolygon edited="0">
                <wp:start x="-78" y="0"/>
                <wp:lineTo x="-78" y="21455"/>
                <wp:lineTo x="21613" y="21455"/>
                <wp:lineTo x="21613" y="0"/>
                <wp:lineTo x="-78" y="0"/>
              </wp:wrapPolygon>
            </wp:wrapTight>
            <wp:docPr id="9" name="Bild 2" descr="P:\LU_2011_ESPON_TerrEvi_100269\03_Project development\WorkinProgress_FactSheets\Factsheets_CBC_neu\TL_CBC4\France_Wallonie_Vlaander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France_Wallonie_Vlaanderen 2.png"/>
                    <pic:cNvPicPr>
                      <a:picLocks noChangeAspect="1" noChangeArrowheads="1"/>
                    </pic:cNvPicPr>
                  </pic:nvPicPr>
                  <pic:blipFill>
                    <a:blip r:embed="rId18" cstate="print"/>
                    <a:srcRect/>
                    <a:stretch>
                      <a:fillRect/>
                    </a:stretch>
                  </pic:blipFill>
                  <pic:spPr bwMode="auto">
                    <a:xfrm>
                      <a:off x="0" y="0"/>
                      <a:ext cx="5273675" cy="293433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framework of the E</w:t>
      </w:r>
      <w:r w:rsidR="005F2D05">
        <w:t>urope</w:t>
      </w:r>
      <w:r w:rsidR="00276DA6">
        <w:t xml:space="preserve"> 2020 Strategy it means </w:t>
      </w:r>
      <w:r w:rsidR="006D6890">
        <w:t>focus on competitiveness, resource efficiency, climate change and biodiversity</w:t>
      </w:r>
      <w:r w:rsidR="00276DA6">
        <w:t>.</w:t>
      </w:r>
    </w:p>
    <w:p w:rsidR="00410C12" w:rsidRDefault="00410C12" w:rsidP="00C00C96"/>
    <w:p w:rsidR="005A5FC4" w:rsidRDefault="00C97D73" w:rsidP="00C00C96">
      <w:r w:rsidRPr="00C97D73">
        <w:t>The use of wind energy potential could be one of the cornerstones in building a competitive low-carbon economy in the EU.</w:t>
      </w:r>
      <w:r>
        <w:t xml:space="preserve"> </w:t>
      </w:r>
      <w:r w:rsidR="00E60207">
        <w:t xml:space="preserve">Disparities </w:t>
      </w:r>
      <w:r>
        <w:t xml:space="preserve">concerning wind energy potential </w:t>
      </w:r>
      <w:r w:rsidR="00615443">
        <w:t>within the Belgium-France CBC area</w:t>
      </w:r>
      <w:r>
        <w:t xml:space="preserve"> </w:t>
      </w:r>
      <w:r w:rsidR="00E60207">
        <w:t xml:space="preserve">are high. The median value </w:t>
      </w:r>
      <w:r>
        <w:t>is at around the same level (slightly lower) than that of the EU27+4 or all CBC areas. At the same time it is lower than the level of France and higher than the level of Belgium. The ozone concentration in the CBC region is at around the same level than in the EU-27+4 in general and ver</w:t>
      </w:r>
      <w:r w:rsidR="00AA06DC">
        <w:t>y close to the level of Belgium;</w:t>
      </w:r>
      <w:r>
        <w:t xml:space="preserve"> while it is higher than the value of </w:t>
      </w:r>
      <w:r w:rsidR="00E60207">
        <w:t>all</w:t>
      </w:r>
      <w:r>
        <w:t xml:space="preserve"> CBC areas and that of France. The CBC </w:t>
      </w:r>
      <w:r w:rsidR="00E60207">
        <w:t>area</w:t>
      </w:r>
      <w:r>
        <w:t xml:space="preserve"> is characterised by a level of vulnerability to climate change that is similar to the level of other EU-27+4, other CBC regions or that of Belgium and slightly lower than that of France.</w:t>
      </w:r>
      <w:r w:rsidR="00AA06DC">
        <w:t xml:space="preserve"> Disparities among the CBC regions are</w:t>
      </w:r>
      <w:r w:rsidR="00615443">
        <w:t xml:space="preserve"> again</w:t>
      </w:r>
      <w:r w:rsidR="00AA06DC">
        <w:t xml:space="preserve"> high in this regard.</w:t>
      </w:r>
    </w:p>
    <w:p w:rsidR="00AB0D96" w:rsidRDefault="00CD2855" w:rsidP="00CD2855">
      <w:pPr>
        <w:spacing w:after="0" w:line="240" w:lineRule="auto"/>
      </w:pPr>
      <w:r>
        <w:t xml:space="preserve">Directive 11 has </w:t>
      </w:r>
      <w:r w:rsidR="00E60207">
        <w:t>minor positive territorial</w:t>
      </w:r>
      <w:r>
        <w:t xml:space="preserve"> impact on fossil fuel consumption </w:t>
      </w:r>
      <w:r w:rsidR="00E60207">
        <w:t xml:space="preserve">only in the region of Nord </w:t>
      </w:r>
      <w:r>
        <w:t>on the Frenc</w:t>
      </w:r>
      <w:r w:rsidR="00AA06DC">
        <w:t>h side of the border, and</w:t>
      </w:r>
      <w:r w:rsidR="00E60207">
        <w:t xml:space="preserve"> in</w:t>
      </w:r>
      <w:r w:rsidR="00AA06DC">
        <w:t xml:space="preserve"> </w:t>
      </w:r>
      <w:r w:rsidR="00E60207">
        <w:t xml:space="preserve">the Belgian NUTS3 regions </w:t>
      </w:r>
      <w:r w:rsidR="009374EF">
        <w:t xml:space="preserve">bordering Nord </w:t>
      </w:r>
      <w:r w:rsidR="00244300">
        <w:t>(MAP 2)</w:t>
      </w:r>
      <w:r w:rsidR="008F6BCA">
        <w:t>;</w:t>
      </w:r>
      <w:r w:rsidR="009374EF">
        <w:t xml:space="preserve"> no impact has been identified in the other border regions</w:t>
      </w:r>
      <w:r w:rsidR="00AB0D96">
        <w:t xml:space="preserve">. The combined adaptive capacity of NUTS3 regions of </w:t>
      </w:r>
      <w:r w:rsidR="00244300">
        <w:t xml:space="preserve">the CBC programme varies and </w:t>
      </w:r>
      <w:r w:rsidR="00615443">
        <w:t>regional values are</w:t>
      </w:r>
      <w:r w:rsidR="00244300">
        <w:t xml:space="preserve"> </w:t>
      </w:r>
      <w:r w:rsidR="00615443">
        <w:t>more or less</w:t>
      </w:r>
      <w:r w:rsidR="009374EF">
        <w:t xml:space="preserve"> evenly </w:t>
      </w:r>
      <w:r w:rsidR="00AB0D96">
        <w:t>spread around the median value of both the EU-27+4 and other CBC regions</w:t>
      </w:r>
      <w:r w:rsidR="00244300">
        <w:t xml:space="preserve"> (BOX-PLOT 1)</w:t>
      </w:r>
      <w:r w:rsidR="00AB0D96">
        <w:t xml:space="preserve">. The </w:t>
      </w:r>
      <w:r w:rsidR="00E60207">
        <w:t xml:space="preserve">Belgian </w:t>
      </w:r>
      <w:r w:rsidR="00AB0D96">
        <w:t xml:space="preserve">NUTS3 </w:t>
      </w:r>
      <w:r w:rsidR="00E60207" w:rsidRPr="00E60207">
        <w:t>Arrondissement of</w:t>
      </w:r>
      <w:r w:rsidR="00AB0D96" w:rsidRPr="00E60207">
        <w:t xml:space="preserve"> Kortrijk</w:t>
      </w:r>
      <w:r w:rsidR="00AB0D96">
        <w:t xml:space="preserve"> is identified as having the highest level of adaptive capacity </w:t>
      </w:r>
      <w:r w:rsidR="00615443">
        <w:t>within the programme area</w:t>
      </w:r>
      <w:r w:rsidR="00AA06DC">
        <w:t>. Overall, B</w:t>
      </w:r>
      <w:r w:rsidR="00AB0D96">
        <w:t xml:space="preserve">elgian </w:t>
      </w:r>
      <w:r w:rsidR="009374EF">
        <w:t>border-</w:t>
      </w:r>
      <w:r w:rsidR="00AB0D96">
        <w:t xml:space="preserve">regions are characterised by a higher </w:t>
      </w:r>
      <w:r w:rsidR="00E60207">
        <w:t>combined</w:t>
      </w:r>
      <w:r w:rsidR="00AB0D96">
        <w:t xml:space="preserve"> adaptive capacity </w:t>
      </w:r>
      <w:r w:rsidR="00E60207">
        <w:t>to climate</w:t>
      </w:r>
      <w:r w:rsidR="00AB0D96">
        <w:t xml:space="preserve"> change than </w:t>
      </w:r>
      <w:r w:rsidR="009374EF">
        <w:t xml:space="preserve">their </w:t>
      </w:r>
      <w:r w:rsidR="00AB0D96">
        <w:t xml:space="preserve">French </w:t>
      </w:r>
      <w:r w:rsidR="009374EF">
        <w:t>counterparts</w:t>
      </w:r>
      <w:r w:rsidR="00E60207">
        <w:t xml:space="preserve"> (based on national median values). </w:t>
      </w:r>
      <w:r w:rsidR="00244300">
        <w:t xml:space="preserve">In this regard the </w:t>
      </w:r>
      <w:r w:rsidR="00615443">
        <w:t xml:space="preserve">French </w:t>
      </w:r>
      <w:r w:rsidR="00244300">
        <w:t>region of Nord is having a considerably weaker than average performance</w:t>
      </w:r>
      <w:r w:rsidR="00615443">
        <w:t>,</w:t>
      </w:r>
      <w:r w:rsidR="00244300">
        <w:t xml:space="preserve"> </w:t>
      </w:r>
      <w:r w:rsidR="00E60207">
        <w:t xml:space="preserve">especially when compared to the </w:t>
      </w:r>
      <w:r w:rsidR="00244300">
        <w:t>Belgian</w:t>
      </w:r>
      <w:r w:rsidR="00E60207">
        <w:t xml:space="preserve"> national median</w:t>
      </w:r>
      <w:r w:rsidR="009374EF">
        <w:t>;</w:t>
      </w:r>
      <w:r w:rsidR="00244300">
        <w:t xml:space="preserve"> but </w:t>
      </w:r>
      <w:r w:rsidR="00E60207">
        <w:t>it</w:t>
      </w:r>
      <w:r w:rsidR="00244300">
        <w:t xml:space="preserve"> is also among the weakest regions in the French </w:t>
      </w:r>
      <w:r w:rsidR="00E60207">
        <w:t xml:space="preserve">national </w:t>
      </w:r>
      <w:r w:rsidR="00244300">
        <w:t>context.</w:t>
      </w:r>
    </w:p>
    <w:p w:rsidR="00041A22" w:rsidRDefault="00041A22" w:rsidP="00CD2855">
      <w:pPr>
        <w:spacing w:after="0" w:line="240" w:lineRule="auto"/>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0767B8">
        <w:rPr>
          <w:b/>
        </w:rPr>
        <w:t>Belgium – France</w:t>
      </w:r>
    </w:p>
    <w:p w:rsidR="00D26713" w:rsidRDefault="00D26713" w:rsidP="00D26713">
      <w:pPr>
        <w:spacing w:after="0" w:line="240" w:lineRule="auto"/>
        <w:rPr>
          <w:noProof/>
          <w:lang w:eastAsia="en-GB"/>
        </w:rPr>
      </w:pPr>
    </w:p>
    <w:p w:rsidR="00D26713" w:rsidRDefault="00241F55" w:rsidP="00D26713">
      <w:pPr>
        <w:spacing w:after="0" w:line="240" w:lineRule="auto"/>
        <w:rPr>
          <w:noProof/>
          <w:lang w:eastAsia="en-GB"/>
        </w:rPr>
      </w:pPr>
      <w:r w:rsidRPr="00241F55">
        <w:rPr>
          <w:noProof/>
          <w:lang w:val="de-DE" w:eastAsia="de-DE"/>
        </w:rPr>
        <w:pict>
          <v:oval id="_x0000_s1033" style="position:absolute;left:0;text-align:left;margin-left:152.65pt;margin-top:189.7pt;width:29.45pt;height:33.05pt;rotation:-2298360fd;z-index:251677184" filled="f" strokecolor="#0070c0" strokeweight="2pt"/>
        </w:pict>
      </w:r>
      <w:r w:rsidR="00D857F4">
        <w:rPr>
          <w:noProof/>
          <w:lang w:val="en-US"/>
        </w:rPr>
        <w:drawing>
          <wp:inline distT="0" distB="0" distL="0" distR="0">
            <wp:extent cx="5278755" cy="5813503"/>
            <wp:effectExtent l="19050" t="0" r="0" b="0"/>
            <wp:docPr id="11"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E11D51" w:rsidRDefault="00E11D51" w:rsidP="00E11D51">
      <w:pPr>
        <w:rPr>
          <w:b/>
        </w:rPr>
      </w:pPr>
      <w:r w:rsidRPr="000835FB">
        <w:rPr>
          <w:b/>
        </w:rPr>
        <w:lastRenderedPageBreak/>
        <w:t xml:space="preserve">BOX-PLOT 1 – Combined adaptive capacity to climate change (ESPON CLIMATE project) for the CBC </w:t>
      </w:r>
      <w:r>
        <w:rPr>
          <w:b/>
        </w:rPr>
        <w:t>Belgium – France</w:t>
      </w:r>
    </w:p>
    <w:p w:rsidR="009128C7" w:rsidRPr="00021CAB" w:rsidRDefault="009128C7" w:rsidP="009128C7">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E11D51" w:rsidRDefault="00E11D51" w:rsidP="00E11D51">
      <w:pPr>
        <w:spacing w:after="0" w:line="240" w:lineRule="auto"/>
        <w:rPr>
          <w:noProof/>
          <w:lang w:eastAsia="en-GB"/>
        </w:rPr>
      </w:pPr>
      <w:r>
        <w:rPr>
          <w:noProof/>
          <w:lang w:val="en-US"/>
        </w:rPr>
        <w:drawing>
          <wp:inline distT="0" distB="0" distL="0" distR="0">
            <wp:extent cx="5278755" cy="3881891"/>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3881891"/>
                    </a:xfrm>
                    <a:prstGeom prst="rect">
                      <a:avLst/>
                    </a:prstGeom>
                    <a:noFill/>
                    <a:ln w="9525">
                      <a:noFill/>
                      <a:miter lim="800000"/>
                      <a:headEnd/>
                      <a:tailEnd/>
                    </a:ln>
                  </pic:spPr>
                </pic:pic>
              </a:graphicData>
            </a:graphic>
          </wp:inline>
        </w:drawing>
      </w:r>
    </w:p>
    <w:p w:rsidR="00E11D51" w:rsidRPr="006F0BC4" w:rsidRDefault="00E11D51" w:rsidP="00E11D51">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E11D51" w:rsidRPr="006F0BC4" w:rsidRDefault="00E11D51" w:rsidP="00E11D51">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E11D51" w:rsidRPr="006F0BC4" w:rsidRDefault="00E11D51" w:rsidP="00E11D51">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E11D51" w:rsidRPr="006F0BC4" w:rsidRDefault="00E11D51" w:rsidP="00E11D51">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E11D51" w:rsidRDefault="00E11D51" w:rsidP="00E11D51">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934293">
        <w:lastRenderedPageBreak/>
        <w:t>Inclusive growth</w:t>
      </w:r>
      <w:r>
        <w:t xml:space="preserve"> </w:t>
      </w:r>
    </w:p>
    <w:p w:rsidR="00151954" w:rsidRDefault="00410C12" w:rsidP="00B135A2">
      <w:r>
        <w:rPr>
          <w:noProof/>
          <w:lang w:val="en-US"/>
        </w:rPr>
        <w:drawing>
          <wp:anchor distT="0" distB="0" distL="114300" distR="114300" simplePos="0" relativeHeight="251686400" behindDoc="1" locked="0" layoutInCell="1" allowOverlap="1">
            <wp:simplePos x="0" y="0"/>
            <wp:positionH relativeFrom="column">
              <wp:posOffset>-36195</wp:posOffset>
            </wp:positionH>
            <wp:positionV relativeFrom="paragraph">
              <wp:posOffset>1146175</wp:posOffset>
            </wp:positionV>
            <wp:extent cx="5272405" cy="2562225"/>
            <wp:effectExtent l="19050" t="0" r="4445" b="0"/>
            <wp:wrapTight wrapText="bothSides">
              <wp:wrapPolygon edited="0">
                <wp:start x="-78" y="0"/>
                <wp:lineTo x="-78" y="21520"/>
                <wp:lineTo x="21618" y="21520"/>
                <wp:lineTo x="21618" y="0"/>
                <wp:lineTo x="-78" y="0"/>
              </wp:wrapPolygon>
            </wp:wrapTight>
            <wp:docPr id="10" name="Bild 3" descr="P:\LU_2011_ESPON_TerrEvi_100269\03_Project development\WorkinProgress_FactSheets\Factsheets_CBC_neu\TL_CBC4\France_Wallonie_Vlaander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France_Wallonie_Vlaanderen 3.png"/>
                    <pic:cNvPicPr>
                      <a:picLocks noChangeAspect="1" noChangeArrowheads="1"/>
                    </pic:cNvPicPr>
                  </pic:nvPicPr>
                  <pic:blipFill>
                    <a:blip r:embed="rId21" cstate="print"/>
                    <a:srcRect/>
                    <a:stretch>
                      <a:fillRect/>
                    </a:stretch>
                  </pic:blipFill>
                  <pic:spPr bwMode="auto">
                    <a:xfrm>
                      <a:off x="0" y="0"/>
                      <a:ext cx="5272405" cy="2562225"/>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410C12" w:rsidRDefault="00410C12" w:rsidP="00B135A2"/>
    <w:p w:rsidR="005A5FC4" w:rsidRDefault="00934293" w:rsidP="00B135A2">
      <w:r>
        <w:t>When we consider</w:t>
      </w:r>
      <w:r w:rsidR="004E3C07">
        <w:t xml:space="preserve"> any of the three selected employment indicators (long-term employment, people at risk of poverty or persons with upper secondary </w:t>
      </w:r>
      <w:r>
        <w:t>or tertiary education), we can generally state that CBC regions hav</w:t>
      </w:r>
      <w:r w:rsidR="00615443">
        <w:t>e mostly</w:t>
      </w:r>
      <w:r>
        <w:t xml:space="preserve"> </w:t>
      </w:r>
      <w:r w:rsidR="00615443">
        <w:t xml:space="preserve">a </w:t>
      </w:r>
      <w:r>
        <w:t xml:space="preserve">weaker </w:t>
      </w:r>
      <w:r w:rsidR="00512B83">
        <w:t xml:space="preserve">level of </w:t>
      </w:r>
      <w:r>
        <w:t>performance tha</w:t>
      </w:r>
      <w:r w:rsidR="00615443">
        <w:t xml:space="preserve">n the median of the EU-27+4, </w:t>
      </w:r>
      <w:r>
        <w:t>all CBC areas</w:t>
      </w:r>
      <w:r w:rsidR="00512B83">
        <w:t>,</w:t>
      </w:r>
      <w:r>
        <w:t xml:space="preserve"> France </w:t>
      </w:r>
      <w:r w:rsidR="00615443">
        <w:t>or</w:t>
      </w:r>
      <w:r w:rsidR="00512B83">
        <w:t xml:space="preserve"> Belgium. Employment rate in </w:t>
      </w:r>
      <w:r>
        <w:t>2010</w:t>
      </w:r>
      <w:r w:rsidR="00512B83">
        <w:t xml:space="preserve"> (only presented for the French border regions in BOX-PLOT 2</w:t>
      </w:r>
      <w:r>
        <w:t xml:space="preserve">) is </w:t>
      </w:r>
      <w:r w:rsidR="000E641B">
        <w:t xml:space="preserve">much </w:t>
      </w:r>
      <w:r>
        <w:t>below the EU-27+4, all CBC areas</w:t>
      </w:r>
      <w:r w:rsidR="000E641B">
        <w:t xml:space="preserve"> median values, as well as the relevant data for French regions. Overall the employment rate </w:t>
      </w:r>
      <w:r w:rsidR="00512B83">
        <w:t xml:space="preserve">of the French border-regions </w:t>
      </w:r>
      <w:r w:rsidR="000E641B">
        <w:t xml:space="preserve">is similar to that of the Belgian </w:t>
      </w:r>
      <w:r w:rsidR="00512B83">
        <w:t>median.</w:t>
      </w:r>
    </w:p>
    <w:p w:rsidR="001229FF" w:rsidRDefault="001229FF" w:rsidP="00512B83">
      <w:pPr>
        <w:spacing w:after="0" w:line="240" w:lineRule="auto"/>
        <w:rPr>
          <w:noProof/>
          <w:lang w:eastAsia="en-GB"/>
        </w:rPr>
      </w:pPr>
      <w:r w:rsidRPr="001229FF">
        <w:rPr>
          <w:noProof/>
          <w:lang w:eastAsia="en-GB"/>
        </w:rPr>
        <w:t>Three out of four scenarios (Limited Social Europe is an exception) predict positive changes in the labour force until 2050 in most of the Belgian NUTS3 border-regions (MAP 3). An opposite trend is observed in the French border-regions, where mostly a reduction of low to medium level in the labour force is foreseen by most scenarios (the ‘Growing Social Europe’ scenario expect a small increase in the NUTS3 regions of Aisne and Nord, and the ‘Expending Market Europe’ in Aisne only).</w:t>
      </w:r>
    </w:p>
    <w:p w:rsidR="00104631" w:rsidRDefault="007D4126" w:rsidP="00512B83">
      <w:pPr>
        <w:spacing w:after="0" w:line="240" w:lineRule="auto"/>
        <w:rPr>
          <w:noProof/>
          <w:lang w:eastAsia="en-GB"/>
        </w:rPr>
      </w:pPr>
      <w:r>
        <w:rPr>
          <w:noProof/>
          <w:lang w:eastAsia="en-GB"/>
        </w:rPr>
        <w:t xml:space="preserve"> </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0767B8">
        <w:rPr>
          <w:b/>
        </w:rPr>
        <w:t>Belgium – France</w:t>
      </w:r>
    </w:p>
    <w:p w:rsidR="0089569C" w:rsidRDefault="0089569C" w:rsidP="0089569C">
      <w:pPr>
        <w:spacing w:after="0" w:line="240" w:lineRule="auto"/>
        <w:rPr>
          <w:noProof/>
          <w:lang w:eastAsia="en-GB"/>
        </w:rPr>
      </w:pPr>
    </w:p>
    <w:p w:rsidR="0089569C" w:rsidRDefault="00241F55" w:rsidP="0089569C">
      <w:pPr>
        <w:spacing w:after="0" w:line="240" w:lineRule="auto"/>
        <w:rPr>
          <w:noProof/>
          <w:lang w:eastAsia="en-GB"/>
        </w:rPr>
      </w:pPr>
      <w:r w:rsidRPr="00241F55">
        <w:rPr>
          <w:noProof/>
          <w:lang w:val="de-DE" w:eastAsia="de-DE"/>
        </w:rPr>
        <w:pict>
          <v:oval id="_x0000_s1037" style="position:absolute;left:0;text-align:left;margin-left:270.2pt;margin-top:315.45pt;width:19.05pt;height:21.4pt;rotation:-2298360fd;z-index:251681280" filled="f" strokecolor="#0070c0" strokeweight="2pt"/>
        </w:pict>
      </w:r>
      <w:r w:rsidRPr="00241F55">
        <w:rPr>
          <w:noProof/>
          <w:lang w:val="de-DE" w:eastAsia="de-DE"/>
        </w:rPr>
        <w:pict>
          <v:oval id="_x0000_s1036" style="position:absolute;left:0;text-align:left;margin-left:71.5pt;margin-top:315.45pt;width:19.05pt;height:21.4pt;rotation:-2298360fd;z-index:251680256" filled="f" strokecolor="#0070c0" strokeweight="2pt"/>
        </w:pict>
      </w:r>
      <w:r w:rsidRPr="00241F55">
        <w:rPr>
          <w:noProof/>
          <w:lang w:val="de-DE" w:eastAsia="de-DE"/>
        </w:rPr>
        <w:pict>
          <v:oval id="_x0000_s1035" style="position:absolute;left:0;text-align:left;margin-left:270.2pt;margin-top:111.7pt;width:19.05pt;height:21.4pt;rotation:-2298360fd;z-index:251679232" filled="f" strokecolor="#0070c0" strokeweight="2pt"/>
        </w:pict>
      </w:r>
      <w:r w:rsidRPr="00241F55">
        <w:rPr>
          <w:noProof/>
          <w:lang w:val="de-DE" w:eastAsia="de-DE"/>
        </w:rPr>
        <w:pict>
          <v:oval id="_x0000_s1034" style="position:absolute;left:0;text-align:left;margin-left:72.35pt;margin-top:111.7pt;width:19.05pt;height:21.4pt;rotation:-2298360fd;z-index:251678208" filled="f" strokecolor="#0070c0" strokeweight="2pt"/>
        </w:pict>
      </w:r>
      <w:r w:rsidR="0075343D">
        <w:rPr>
          <w:noProof/>
          <w:lang w:val="en-US"/>
        </w:rPr>
        <w:drawing>
          <wp:inline distT="0" distB="0" distL="0" distR="0">
            <wp:extent cx="5278755" cy="6911340"/>
            <wp:effectExtent l="19050" t="0" r="0" b="0"/>
            <wp:docPr id="14" name="Grafik 13"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E11D51" w:rsidRDefault="00E11D51" w:rsidP="00E11D51">
      <w:pPr>
        <w:rPr>
          <w:b/>
        </w:rPr>
      </w:pPr>
      <w:r w:rsidRPr="00500C95">
        <w:rPr>
          <w:b/>
        </w:rPr>
        <w:lastRenderedPageBreak/>
        <w:t xml:space="preserve">BOX-PLOT 2 – Employment rate 2010 within the CBC </w:t>
      </w:r>
      <w:r>
        <w:rPr>
          <w:b/>
        </w:rPr>
        <w:t>Belgium – France</w:t>
      </w:r>
    </w:p>
    <w:p w:rsidR="00E11D51" w:rsidRDefault="00E11D51" w:rsidP="00E11D51">
      <w:pPr>
        <w:rPr>
          <w:noProof/>
          <w:lang w:eastAsia="en-GB"/>
        </w:rPr>
      </w:pPr>
      <w:r>
        <w:rPr>
          <w:noProof/>
          <w:lang w:val="en-US"/>
        </w:rPr>
        <w:drawing>
          <wp:anchor distT="0" distB="0" distL="114300" distR="114300" simplePos="0" relativeHeight="251674112" behindDoc="1" locked="0" layoutInCell="1" allowOverlap="1">
            <wp:simplePos x="0" y="0"/>
            <wp:positionH relativeFrom="column">
              <wp:posOffset>1905</wp:posOffset>
            </wp:positionH>
            <wp:positionV relativeFrom="paragraph">
              <wp:posOffset>107315</wp:posOffset>
            </wp:positionV>
            <wp:extent cx="5276850" cy="3952875"/>
            <wp:effectExtent l="19050" t="0" r="0" b="0"/>
            <wp:wrapTight wrapText="bothSides">
              <wp:wrapPolygon edited="0">
                <wp:start x="-78" y="0"/>
                <wp:lineTo x="-78" y="21548"/>
                <wp:lineTo x="21600" y="21548"/>
                <wp:lineTo x="21600" y="0"/>
                <wp:lineTo x="-78" y="0"/>
              </wp:wrapPolygon>
            </wp:wrapTight>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76850" cy="3952875"/>
                    </a:xfrm>
                    <a:prstGeom prst="rect">
                      <a:avLst/>
                    </a:prstGeom>
                    <a:noFill/>
                    <a:ln w="9525">
                      <a:noFill/>
                      <a:miter lim="800000"/>
                      <a:headEnd/>
                      <a:tailEnd/>
                    </a:ln>
                  </pic:spPr>
                </pic:pic>
              </a:graphicData>
            </a:graphic>
          </wp:anchor>
        </w:drawing>
      </w:r>
    </w:p>
    <w:p w:rsidR="00E11D51" w:rsidRPr="00383954" w:rsidRDefault="00E11D51" w:rsidP="00E11D51">
      <w:pPr>
        <w:spacing w:after="0" w:line="240" w:lineRule="auto"/>
        <w:jc w:val="left"/>
        <w:rPr>
          <w:i/>
          <w:noProof/>
          <w:lang w:eastAsia="en-GB"/>
        </w:rPr>
      </w:pPr>
      <w:r w:rsidRPr="00383954">
        <w:rPr>
          <w:i/>
          <w:noProof/>
          <w:lang w:eastAsia="en-GB"/>
        </w:rPr>
        <w:t>(see “How t</w:t>
      </w:r>
      <w:r w:rsidR="005F2D05">
        <w:rPr>
          <w:i/>
          <w:noProof/>
          <w:lang w:eastAsia="en-GB"/>
        </w:rPr>
        <w:t>o read the box-plots?” on page 8</w:t>
      </w:r>
      <w:r w:rsidRPr="00383954">
        <w:rPr>
          <w:i/>
          <w:noProof/>
          <w:lang w:eastAsia="en-GB"/>
        </w:rPr>
        <w:t>)</w:t>
      </w:r>
    </w:p>
    <w:p w:rsidR="00E11D51" w:rsidRDefault="00E11D51" w:rsidP="00E11D51">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0C2E8B" w:rsidRDefault="005761A6" w:rsidP="005761A6">
      <w:pPr>
        <w:pStyle w:val="Heading1"/>
      </w:pPr>
      <w:r w:rsidRPr="000C2E8B">
        <w:lastRenderedPageBreak/>
        <w:t xml:space="preserve">Territorial factors of interest for the programme area </w:t>
      </w:r>
    </w:p>
    <w:p w:rsidR="005A5FC4" w:rsidRPr="005A5FC4" w:rsidRDefault="005A5FC4" w:rsidP="005A5FC4"/>
    <w:p w:rsidR="000C2E8B" w:rsidRDefault="000C2E8B" w:rsidP="000C2E8B">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0C2E8B" w:rsidRDefault="000C2E8B" w:rsidP="000C2E8B">
      <w:r>
        <w:rPr>
          <w:rFonts w:cs="Calibri"/>
          <w:szCs w:val="20"/>
          <w:lang w:eastAsia="fr-FR"/>
        </w:rPr>
        <w:t>For the programme area ESPON TERCO is of particular interest. It comprises</w:t>
      </w:r>
      <w:r>
        <w:t xml:space="preserve"> a case study focusing on a border region concerning the cross-border cooperation between France and Belgium. The full case study including a lot of detailed analysis of the area and cooperation activities in the area is available in the annex to the (Draft) Final Report of the TERCO project. The below box provides only a short extract from the case study summary. </w:t>
      </w:r>
    </w:p>
    <w:p w:rsidR="000C2E8B" w:rsidRDefault="000C2E8B" w:rsidP="000C2E8B">
      <w:pPr>
        <w:shd w:val="clear" w:color="auto" w:fill="F2F2F2" w:themeFill="background1" w:themeFillShade="F2"/>
        <w:rPr>
          <w:rFonts w:cs="Calibri"/>
          <w:sz w:val="18"/>
          <w:szCs w:val="20"/>
          <w:lang w:eastAsia="fr-FR"/>
        </w:rPr>
      </w:pPr>
      <w:r w:rsidRPr="00637C5D">
        <w:rPr>
          <w:rFonts w:cs="Calibri"/>
          <w:sz w:val="18"/>
          <w:szCs w:val="20"/>
          <w:lang w:eastAsia="fr-FR"/>
        </w:rPr>
        <w:t xml:space="preserve">ESPON TERCO PROJECT – ANNEX TO </w:t>
      </w:r>
      <w:r>
        <w:rPr>
          <w:rFonts w:cs="Calibri"/>
          <w:sz w:val="18"/>
          <w:szCs w:val="20"/>
          <w:lang w:eastAsia="fr-FR"/>
        </w:rPr>
        <w:t>THE DRAFT FINAL REPORT, PAGE 518-523:</w:t>
      </w:r>
      <w:r>
        <w:rPr>
          <w:rFonts w:cs="Calibri"/>
          <w:sz w:val="18"/>
          <w:szCs w:val="20"/>
          <w:lang w:eastAsia="fr-FR"/>
        </w:rPr>
        <w:br/>
        <w:t>Extracts from the text describing the programme area</w:t>
      </w:r>
    </w:p>
    <w:p w:rsidR="000C2E8B" w:rsidRPr="00E0076A" w:rsidRDefault="000C2E8B" w:rsidP="000C2E8B">
      <w:pPr>
        <w:shd w:val="clear" w:color="auto" w:fill="F2F2F2" w:themeFill="background1" w:themeFillShade="F2"/>
        <w:rPr>
          <w:rFonts w:cs="Calibri"/>
          <w:sz w:val="18"/>
          <w:szCs w:val="20"/>
          <w:lang w:eastAsia="fr-FR"/>
        </w:rPr>
      </w:pPr>
      <w:r>
        <w:rPr>
          <w:rFonts w:cs="Calibri"/>
          <w:sz w:val="18"/>
          <w:szCs w:val="20"/>
          <w:lang w:eastAsia="fr-FR"/>
        </w:rPr>
        <w:t>I</w:t>
      </w:r>
      <w:r w:rsidRPr="00E0076A">
        <w:rPr>
          <w:rFonts w:cs="Calibri"/>
          <w:sz w:val="18"/>
          <w:szCs w:val="20"/>
          <w:lang w:eastAsia="fr-FR"/>
        </w:rPr>
        <w:t xml:space="preserve">nside </w:t>
      </w:r>
      <w:r>
        <w:rPr>
          <w:rFonts w:cs="Calibri"/>
          <w:sz w:val="18"/>
          <w:szCs w:val="20"/>
          <w:lang w:eastAsia="fr-FR"/>
        </w:rPr>
        <w:t>the programme area</w:t>
      </w:r>
      <w:r w:rsidRPr="00E0076A">
        <w:rPr>
          <w:rFonts w:cs="Calibri"/>
          <w:sz w:val="18"/>
          <w:szCs w:val="20"/>
          <w:lang w:eastAsia="fr-FR"/>
        </w:rPr>
        <w:t xml:space="preserve"> the high </w:t>
      </w:r>
      <w:r>
        <w:rPr>
          <w:rFonts w:cs="Calibri"/>
          <w:sz w:val="18"/>
          <w:szCs w:val="20"/>
          <w:lang w:eastAsia="fr-FR"/>
        </w:rPr>
        <w:t xml:space="preserve">population </w:t>
      </w:r>
      <w:r w:rsidRPr="00E0076A">
        <w:rPr>
          <w:rFonts w:cs="Calibri"/>
          <w:sz w:val="18"/>
          <w:szCs w:val="20"/>
          <w:lang w:eastAsia="fr-FR"/>
        </w:rPr>
        <w:t>densities draw</w:t>
      </w:r>
      <w:r>
        <w:rPr>
          <w:rFonts w:cs="Calibri"/>
          <w:sz w:val="18"/>
          <w:szCs w:val="20"/>
          <w:lang w:eastAsia="fr-FR"/>
        </w:rPr>
        <w:t>s</w:t>
      </w:r>
      <w:r w:rsidRPr="00E0076A">
        <w:rPr>
          <w:rFonts w:cs="Calibri"/>
          <w:sz w:val="18"/>
          <w:szCs w:val="20"/>
          <w:lang w:eastAsia="fr-FR"/>
        </w:rPr>
        <w:t xml:space="preserve"> two axes, one along the former coal basin, from Béthune to Charleroi, through Douai-Lens, Valenciennes, the Borinage and the Centre basin and the other one, perpendicular to the previous one, from Lille to Kortrijk and further North along the Leie valley, continuing to Ghent outside our study region. Dots of high densities appear also around the cities along the coast, but the map of the densities underestimates the urbanisation of the Belgian coast, as many buildings are occupied only as secondary residences.</w:t>
      </w:r>
    </w:p>
    <w:p w:rsidR="000C2E8B" w:rsidRDefault="000C2E8B" w:rsidP="000C2E8B">
      <w:pPr>
        <w:shd w:val="clear" w:color="auto" w:fill="F2F2F2" w:themeFill="background1" w:themeFillShade="F2"/>
        <w:rPr>
          <w:rFonts w:cs="Calibri"/>
          <w:sz w:val="18"/>
          <w:szCs w:val="20"/>
          <w:lang w:eastAsia="fr-FR"/>
        </w:rPr>
      </w:pPr>
      <w:r w:rsidRPr="00E0076A">
        <w:rPr>
          <w:rFonts w:cs="Calibri"/>
          <w:sz w:val="18"/>
          <w:szCs w:val="20"/>
          <w:lang w:eastAsia="fr-FR"/>
        </w:rPr>
        <w:t>Three ports are important, even if only mid-sized inside the whole Northern Range between Le Havre and Hamburg: Dunkerque (58 million tons in 2008), Zeebrugge (42) and Calais (40) (to be compared with 421 for Rotterdam, 189 for Antwerp and 140 for Hamburg). Zeebrugge, with a strong specialisation in containers, and Dunkerque are both important freight ports of the North Range, including the development of a seaside iron industry in Dunkerque from the end of the Fifties. Calais remains the most important ferry port for the links with Great-Britain, despite of the Chunnel, followed by Zeebrugge; and moreover Oostende, Nieuwpoort and Boulogne are three other secondary ports, the first one having however lost its position as one</w:t>
      </w:r>
      <w:r>
        <w:rPr>
          <w:rFonts w:cs="Calibri"/>
          <w:sz w:val="18"/>
          <w:szCs w:val="20"/>
          <w:lang w:eastAsia="fr-FR"/>
        </w:rPr>
        <w:t xml:space="preserve"> </w:t>
      </w:r>
      <w:r w:rsidRPr="00E0076A">
        <w:rPr>
          <w:rFonts w:cs="Calibri"/>
          <w:sz w:val="18"/>
          <w:szCs w:val="20"/>
          <w:lang w:eastAsia="fr-FR"/>
        </w:rPr>
        <w:t>of the main passenger trans-Channel ports due to the opening of the Channel.</w:t>
      </w:r>
    </w:p>
    <w:p w:rsidR="000C2E8B" w:rsidRPr="008211BF" w:rsidRDefault="000C2E8B" w:rsidP="000C2E8B">
      <w:pPr>
        <w:shd w:val="clear" w:color="auto" w:fill="F2F2F2" w:themeFill="background1" w:themeFillShade="F2"/>
        <w:rPr>
          <w:rFonts w:cs="Calibri"/>
          <w:sz w:val="18"/>
          <w:szCs w:val="20"/>
          <w:lang w:eastAsia="fr-FR"/>
        </w:rPr>
      </w:pPr>
      <w:r w:rsidRPr="004A5112">
        <w:rPr>
          <w:rFonts w:cs="Calibri"/>
          <w:sz w:val="18"/>
          <w:szCs w:val="20"/>
          <w:lang w:eastAsia="fr-FR"/>
        </w:rPr>
        <w:t>The urban structure of the area is very dense, but not without presenting challenges. Lille is undoubtedly the main pole of the area. Lille's morphological urban area (MUA) includes Roubaix and Tourcoing. The functional urban area (i.e. the employment basin, FUA) is limited to the South by the former coal basin's FUAs, even if Lille is more and more attracting commuters from this last deprived area. Lille's FUA is not really a true trans-border one, only Comines (Belgium) being included in its FUA, despite of the contiguity between Lille and Mouscron, on the Belgian side.</w:t>
      </w:r>
    </w:p>
    <w:p w:rsidR="000C2E8B" w:rsidRDefault="000C2E8B" w:rsidP="000C2E8B">
      <w:r>
        <w:t xml:space="preserve">In a European perspective the programme area is mainly composed urban areas with Lille even being one of the European Metropolitan Growth Areas (see map below). Furthermore the programme area lies in relatively close proximity to Paris and Brussels which offers additional development opportunities. Despite the urban focus the programme areas includes also intermediate and rural areas in close proximity or urban centres. </w:t>
      </w:r>
    </w:p>
    <w:p w:rsidR="009B2BE6" w:rsidRDefault="000C2E8B" w:rsidP="000C2E8B">
      <w:r>
        <w:t xml:space="preserve">In terms of infrastructure the region is compared to many other cross-border areas in Europe well endowed with transport infrastructure and has a multimodal accessibility which is above the European average. This is partially also thanks to the high-speed railway connections of Lille, allowing for a good integration in the European transport network and good access to main European metropolitan areas. </w:t>
      </w:r>
      <w:r w:rsidR="009B2BE6">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0767B8">
        <w:rPr>
          <w:b/>
        </w:rPr>
        <w:t>Belgium – France</w:t>
      </w:r>
    </w:p>
    <w:p w:rsidR="0089569C" w:rsidRDefault="0089569C" w:rsidP="0089569C">
      <w:pPr>
        <w:spacing w:after="0" w:line="240" w:lineRule="auto"/>
        <w:jc w:val="left"/>
        <w:rPr>
          <w:noProof/>
          <w:lang w:eastAsia="en-GB"/>
        </w:rPr>
      </w:pPr>
    </w:p>
    <w:p w:rsidR="0089569C" w:rsidRDefault="00241F55" w:rsidP="0089569C">
      <w:pPr>
        <w:spacing w:after="0" w:line="240" w:lineRule="auto"/>
        <w:jc w:val="left"/>
        <w:rPr>
          <w:noProof/>
          <w:lang w:eastAsia="en-GB"/>
        </w:rPr>
      </w:pPr>
      <w:r w:rsidRPr="00241F55">
        <w:rPr>
          <w:noProof/>
          <w:lang w:val="de-DE" w:eastAsia="de-DE"/>
        </w:rPr>
        <w:pict>
          <v:oval id="_x0000_s1039" style="position:absolute;margin-left:119.75pt;margin-top:216.15pt;width:26.6pt;height:29.9pt;rotation:-2298360fd;z-index:251682304" filled="f" strokecolor="#0070c0" strokeweight="2pt"/>
        </w:pict>
      </w:r>
      <w:r w:rsidR="00F14FAD">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363EF5" w:rsidRPr="0085195F" w:rsidRDefault="00363EF5" w:rsidP="00363EF5">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0767B8">
        <w:rPr>
          <w:b/>
        </w:rPr>
        <w:t>Belgium – France</w:t>
      </w:r>
    </w:p>
    <w:p w:rsidR="009128C7" w:rsidRPr="00021CAB" w:rsidRDefault="009128C7" w:rsidP="009128C7">
      <w:pPr>
        <w:spacing w:after="240"/>
        <w:rPr>
          <w:i/>
        </w:rPr>
      </w:pPr>
      <w:r w:rsidRPr="00021CAB">
        <w:rPr>
          <w:i/>
        </w:rPr>
        <w:t>“Potential Accessibility Multimodal” scores accessibility of NUTS 3 regions by road, rail and air relative to the European average in an Accessibility Index.</w:t>
      </w:r>
    </w:p>
    <w:p w:rsidR="0089569C" w:rsidRDefault="00241F55" w:rsidP="0089569C">
      <w:pPr>
        <w:spacing w:after="0" w:line="240" w:lineRule="auto"/>
        <w:jc w:val="left"/>
        <w:rPr>
          <w:noProof/>
          <w:lang w:eastAsia="en-GB"/>
        </w:rPr>
      </w:pPr>
      <w:r w:rsidRPr="00241F55">
        <w:rPr>
          <w:noProof/>
          <w:lang w:val="de-DE" w:eastAsia="de-DE"/>
        </w:rPr>
        <w:pict>
          <v:oval id="_x0000_s1040" style="position:absolute;margin-left:120.1pt;margin-top:216.9pt;width:29.6pt;height:33.25pt;rotation:-2298360fd;z-index:251683328" filled="f" strokecolor="#0070c0" strokeweight="2pt"/>
        </w:pict>
      </w:r>
      <w:r w:rsidR="0075343D">
        <w:rPr>
          <w:noProof/>
          <w:lang w:val="en-US"/>
        </w:rPr>
        <w:drawing>
          <wp:inline distT="0" distB="0" distL="0" distR="0">
            <wp:extent cx="5278755" cy="7444105"/>
            <wp:effectExtent l="19050" t="0" r="0" b="0"/>
            <wp:docPr id="16" name="Grafik 15"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C05359" w:rsidRDefault="005A5FC4" w:rsidP="0019394E">
      <w:pPr>
        <w:pStyle w:val="Heading1"/>
      </w:pPr>
      <w:r w:rsidRPr="00C05359">
        <w:lastRenderedPageBreak/>
        <w:t>Recommended ESPON reading</w:t>
      </w:r>
    </w:p>
    <w:p w:rsidR="005E3454" w:rsidRDefault="005E3454" w:rsidP="005E3454">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5E3454" w:rsidRDefault="005E3454" w:rsidP="005E3454">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5E3454" w:rsidRPr="00A0472D" w:rsidTr="005F0AF8">
        <w:trPr>
          <w:trHeight w:val="203"/>
        </w:trPr>
        <w:tc>
          <w:tcPr>
            <w:tcW w:w="1276" w:type="dxa"/>
            <w:shd w:val="clear" w:color="auto" w:fill="auto"/>
          </w:tcPr>
          <w:p w:rsidR="005E3454" w:rsidRPr="00A0472D" w:rsidRDefault="005E3454" w:rsidP="005F0AF8">
            <w:pPr>
              <w:spacing w:after="0" w:line="20" w:lineRule="atLeast"/>
              <w:rPr>
                <w:b/>
                <w:sz w:val="18"/>
                <w:szCs w:val="18"/>
              </w:rPr>
            </w:pPr>
            <w:r w:rsidRPr="00A0472D">
              <w:rPr>
                <w:b/>
                <w:sz w:val="18"/>
                <w:szCs w:val="18"/>
              </w:rPr>
              <w:t>ESPON study</w:t>
            </w:r>
          </w:p>
        </w:tc>
        <w:tc>
          <w:tcPr>
            <w:tcW w:w="1418" w:type="dxa"/>
            <w:shd w:val="clear" w:color="auto" w:fill="auto"/>
          </w:tcPr>
          <w:p w:rsidR="005E3454" w:rsidRPr="00A0472D" w:rsidRDefault="005E3454" w:rsidP="005F0AF8">
            <w:pPr>
              <w:spacing w:after="0" w:line="20" w:lineRule="atLeast"/>
              <w:rPr>
                <w:b/>
                <w:sz w:val="18"/>
                <w:szCs w:val="18"/>
              </w:rPr>
            </w:pPr>
            <w:r w:rsidRPr="00A0472D">
              <w:rPr>
                <w:b/>
                <w:sz w:val="18"/>
                <w:szCs w:val="18"/>
              </w:rPr>
              <w:t>Topic</w:t>
            </w:r>
          </w:p>
        </w:tc>
        <w:tc>
          <w:tcPr>
            <w:tcW w:w="5670" w:type="dxa"/>
            <w:shd w:val="clear" w:color="auto" w:fill="auto"/>
          </w:tcPr>
          <w:p w:rsidR="005E3454" w:rsidRPr="00A0472D" w:rsidRDefault="005E3454" w:rsidP="005F0AF8">
            <w:pPr>
              <w:spacing w:after="0" w:line="20" w:lineRule="atLeast"/>
              <w:rPr>
                <w:b/>
                <w:sz w:val="18"/>
                <w:szCs w:val="18"/>
              </w:rPr>
            </w:pPr>
            <w:r w:rsidRPr="00A0472D">
              <w:rPr>
                <w:b/>
                <w:sz w:val="18"/>
                <w:szCs w:val="18"/>
              </w:rPr>
              <w:t>Content</w:t>
            </w:r>
          </w:p>
        </w:tc>
      </w:tr>
      <w:tr w:rsidR="005E3454" w:rsidRPr="00A0472D" w:rsidTr="005F0AF8">
        <w:trPr>
          <w:trHeight w:val="274"/>
        </w:trPr>
        <w:tc>
          <w:tcPr>
            <w:tcW w:w="1276" w:type="dxa"/>
            <w:shd w:val="clear" w:color="auto" w:fill="FFFFFF" w:themeFill="background1"/>
          </w:tcPr>
          <w:p w:rsidR="005E3454" w:rsidRPr="00A0472D" w:rsidRDefault="005E3454" w:rsidP="005F0AF8">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5E3454" w:rsidRPr="00A0472D" w:rsidRDefault="005E3454" w:rsidP="005F0AF8">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5E3454" w:rsidRPr="00A0472D" w:rsidRDefault="005E3454" w:rsidP="005F0AF8">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5E3454" w:rsidRPr="00A0472D" w:rsidTr="005F0AF8">
        <w:trPr>
          <w:trHeight w:val="274"/>
        </w:trPr>
        <w:tc>
          <w:tcPr>
            <w:tcW w:w="1276" w:type="dxa"/>
            <w:shd w:val="clear" w:color="auto" w:fill="FFFFFF" w:themeFill="background1"/>
          </w:tcPr>
          <w:p w:rsidR="005E3454" w:rsidRPr="00A0472D" w:rsidRDefault="005E3454" w:rsidP="005F0AF8">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5E3454" w:rsidRPr="00A0472D" w:rsidRDefault="005E3454" w:rsidP="005F0AF8">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5E3454" w:rsidRPr="00A0472D" w:rsidRDefault="005E3454" w:rsidP="005F0AF8">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5E3454" w:rsidRPr="00A0472D" w:rsidTr="005F0AF8">
        <w:trPr>
          <w:trHeight w:val="274"/>
        </w:trPr>
        <w:tc>
          <w:tcPr>
            <w:tcW w:w="1276" w:type="dxa"/>
            <w:shd w:val="clear" w:color="auto" w:fill="FFFFFF" w:themeFill="background1"/>
          </w:tcPr>
          <w:p w:rsidR="005E3454" w:rsidRPr="00A0472D" w:rsidRDefault="005E3454" w:rsidP="005F0AF8">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5E3454" w:rsidRPr="00A0472D" w:rsidTr="005F0AF8">
        <w:trPr>
          <w:trHeight w:val="274"/>
        </w:trPr>
        <w:tc>
          <w:tcPr>
            <w:tcW w:w="1276" w:type="dxa"/>
            <w:shd w:val="clear" w:color="auto" w:fill="FFFFFF" w:themeFill="background1"/>
          </w:tcPr>
          <w:p w:rsidR="005E3454" w:rsidRPr="00A0472D" w:rsidRDefault="005E3454" w:rsidP="005F0AF8">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5E3454" w:rsidRPr="00A0472D" w:rsidRDefault="005E3454" w:rsidP="005F0AF8">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5E3454" w:rsidRPr="00A0472D" w:rsidRDefault="005E3454" w:rsidP="005F0AF8">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5E3454" w:rsidRPr="00A0472D" w:rsidTr="005F0AF8">
        <w:trPr>
          <w:trHeight w:val="274"/>
        </w:trPr>
        <w:tc>
          <w:tcPr>
            <w:tcW w:w="1276" w:type="dxa"/>
            <w:shd w:val="clear" w:color="auto" w:fill="FFFFFF" w:themeFill="background1"/>
          </w:tcPr>
          <w:p w:rsidR="005E3454" w:rsidRPr="00A0472D" w:rsidRDefault="005E3454" w:rsidP="005F0AF8">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5E3454" w:rsidRPr="00A0472D" w:rsidRDefault="005E3454" w:rsidP="005F0AF8">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5E3454" w:rsidRPr="00A0472D" w:rsidRDefault="005E3454" w:rsidP="005F0AF8">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5E3454" w:rsidRPr="00A0472D" w:rsidTr="005F0AF8">
        <w:trPr>
          <w:trHeight w:val="274"/>
        </w:trPr>
        <w:tc>
          <w:tcPr>
            <w:tcW w:w="1276" w:type="dxa"/>
            <w:tcBorders>
              <w:bottom w:val="single" w:sz="4" w:space="0" w:color="auto"/>
            </w:tcBorders>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It</w:t>
            </w:r>
            <w:r>
              <w:rPr>
                <w:sz w:val="18"/>
                <w:szCs w:val="18"/>
              </w:rPr>
              <w:t xml:space="preserve"> describes</w:t>
            </w:r>
            <w:r w:rsidRPr="00A0472D">
              <w:rPr>
                <w:sz w:val="18"/>
                <w:szCs w:val="18"/>
              </w:rPr>
              <w:t xml:space="preserve"> migration in rural regions</w:t>
            </w:r>
            <w:r>
              <w:rPr>
                <w:sz w:val="18"/>
                <w:szCs w:val="18"/>
              </w:rPr>
              <w:t xml:space="preserve"> in order</w:t>
            </w:r>
            <w:r w:rsidRPr="00A0472D">
              <w:rPr>
                <w:sz w:val="18"/>
                <w:szCs w:val="18"/>
              </w:rPr>
              <w:t xml:space="preserve"> to develop strategies for territorial development (see map 1, 4 and 5).</w:t>
            </w:r>
          </w:p>
        </w:tc>
      </w:tr>
      <w:tr w:rsidR="005E3454" w:rsidRPr="00A0472D" w:rsidTr="005F0AF8">
        <w:trPr>
          <w:trHeight w:val="274"/>
        </w:trPr>
        <w:tc>
          <w:tcPr>
            <w:tcW w:w="1276" w:type="dxa"/>
            <w:shd w:val="clear" w:color="auto" w:fill="FFFFFF" w:themeFill="background1"/>
          </w:tcPr>
          <w:p w:rsidR="005E3454" w:rsidRPr="008152C4" w:rsidRDefault="005E3454" w:rsidP="005F0AF8">
            <w:pPr>
              <w:spacing w:after="0" w:line="20" w:lineRule="atLeast"/>
              <w:rPr>
                <w:sz w:val="18"/>
                <w:szCs w:val="18"/>
              </w:rPr>
            </w:pPr>
            <w:r>
              <w:rPr>
                <w:sz w:val="18"/>
                <w:szCs w:val="18"/>
              </w:rPr>
              <w:t>KIT</w:t>
            </w:r>
          </w:p>
        </w:tc>
        <w:tc>
          <w:tcPr>
            <w:tcW w:w="1418" w:type="dxa"/>
            <w:shd w:val="clear" w:color="auto" w:fill="FFFFFF" w:themeFill="background1"/>
          </w:tcPr>
          <w:p w:rsidR="005E3454" w:rsidRPr="008152C4" w:rsidRDefault="005E3454" w:rsidP="005F0AF8">
            <w:pPr>
              <w:spacing w:after="0" w:line="20" w:lineRule="atLeast"/>
              <w:rPr>
                <w:sz w:val="18"/>
                <w:szCs w:val="18"/>
              </w:rPr>
            </w:pPr>
            <w:r w:rsidRPr="008152C4">
              <w:rPr>
                <w:sz w:val="18"/>
                <w:szCs w:val="18"/>
              </w:rPr>
              <w:t>Innovation</w:t>
            </w:r>
          </w:p>
        </w:tc>
        <w:tc>
          <w:tcPr>
            <w:tcW w:w="5670" w:type="dxa"/>
            <w:shd w:val="clear" w:color="auto" w:fill="FFFFFF" w:themeFill="background1"/>
          </w:tcPr>
          <w:p w:rsidR="005E3454" w:rsidRPr="008152C4" w:rsidRDefault="005E3454" w:rsidP="005F0AF8">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5E3454" w:rsidRPr="00A0472D" w:rsidTr="005F0AF8">
        <w:trPr>
          <w:trHeight w:val="274"/>
        </w:trPr>
        <w:tc>
          <w:tcPr>
            <w:tcW w:w="1276" w:type="dxa"/>
            <w:shd w:val="clear" w:color="auto" w:fill="FFFFFF" w:themeFill="background1"/>
          </w:tcPr>
          <w:p w:rsidR="005E3454" w:rsidRPr="00A0472D" w:rsidRDefault="005E3454" w:rsidP="005F0AF8">
            <w:pPr>
              <w:spacing w:after="0" w:line="20" w:lineRule="atLeast"/>
              <w:rPr>
                <w:sz w:val="18"/>
                <w:szCs w:val="18"/>
              </w:rPr>
            </w:pPr>
            <w:r w:rsidRPr="008152C4">
              <w:rPr>
                <w:sz w:val="18"/>
                <w:szCs w:val="18"/>
              </w:rPr>
              <w:t>SGPTD</w:t>
            </w:r>
          </w:p>
        </w:tc>
        <w:tc>
          <w:tcPr>
            <w:tcW w:w="1418" w:type="dxa"/>
            <w:shd w:val="clear" w:color="auto" w:fill="FFFFFF" w:themeFill="background1"/>
          </w:tcPr>
          <w:p w:rsidR="005E3454" w:rsidRPr="00A0472D" w:rsidRDefault="005E3454" w:rsidP="005F0AF8">
            <w:pPr>
              <w:spacing w:after="0" w:line="20" w:lineRule="atLeast"/>
              <w:rPr>
                <w:sz w:val="18"/>
                <w:szCs w:val="18"/>
              </w:rPr>
            </w:pPr>
            <w:r w:rsidRPr="008152C4">
              <w:rPr>
                <w:sz w:val="18"/>
                <w:szCs w:val="18"/>
              </w:rPr>
              <w:t>Growth poles</w:t>
            </w:r>
          </w:p>
        </w:tc>
        <w:tc>
          <w:tcPr>
            <w:tcW w:w="5670" w:type="dxa"/>
            <w:shd w:val="clear" w:color="auto" w:fill="FFFFFF" w:themeFill="background1"/>
          </w:tcPr>
          <w:p w:rsidR="005E3454" w:rsidRPr="00A0472D" w:rsidRDefault="005E3454" w:rsidP="005F0AF8">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5E3454" w:rsidRPr="00C25E73" w:rsidTr="005F0AF8">
        <w:trPr>
          <w:trHeight w:val="274"/>
        </w:trPr>
        <w:tc>
          <w:tcPr>
            <w:tcW w:w="1276" w:type="dxa"/>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TERCO</w:t>
            </w:r>
          </w:p>
        </w:tc>
        <w:tc>
          <w:tcPr>
            <w:tcW w:w="1418" w:type="dxa"/>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Territorial cooperation</w:t>
            </w:r>
          </w:p>
        </w:tc>
        <w:tc>
          <w:tcPr>
            <w:tcW w:w="5670" w:type="dxa"/>
            <w:shd w:val="clear" w:color="auto" w:fill="FFFFFF" w:themeFill="background1"/>
          </w:tcPr>
          <w:p w:rsidR="005E3454" w:rsidRPr="00A0472D" w:rsidRDefault="005E3454" w:rsidP="005F0AF8">
            <w:pPr>
              <w:spacing w:after="0" w:line="20" w:lineRule="atLeast"/>
              <w:rPr>
                <w:sz w:val="18"/>
                <w:szCs w:val="18"/>
              </w:rPr>
            </w:pPr>
            <w:r w:rsidRPr="00A0472D">
              <w:rPr>
                <w:sz w:val="18"/>
                <w:szCs w:val="18"/>
              </w:rPr>
              <w:t>It delivers evidence concerning accessibility, demography</w:t>
            </w:r>
            <w:r>
              <w:rPr>
                <w:sz w:val="18"/>
                <w:szCs w:val="18"/>
              </w:rPr>
              <w:t xml:space="preserve"> and </w:t>
            </w:r>
            <w:r w:rsidRPr="00A0472D">
              <w:rPr>
                <w:sz w:val="18"/>
                <w:szCs w:val="18"/>
              </w:rPr>
              <w:t>competitiveness</w:t>
            </w:r>
            <w:r>
              <w:rPr>
                <w:sz w:val="18"/>
                <w:szCs w:val="18"/>
              </w:rPr>
              <w:t>. It h</w:t>
            </w:r>
            <w:r w:rsidRPr="00C25E73">
              <w:rPr>
                <w:sz w:val="18"/>
                <w:szCs w:val="18"/>
              </w:rPr>
              <w:t xml:space="preserve">as </w:t>
            </w:r>
            <w:r>
              <w:rPr>
                <w:sz w:val="18"/>
                <w:szCs w:val="18"/>
              </w:rPr>
              <w:t>a</w:t>
            </w:r>
            <w:r w:rsidRPr="00C25E73">
              <w:rPr>
                <w:sz w:val="18"/>
                <w:szCs w:val="18"/>
              </w:rPr>
              <w:t xml:space="preserve"> </w:t>
            </w:r>
            <w:r>
              <w:rPr>
                <w:sz w:val="18"/>
                <w:szCs w:val="18"/>
              </w:rPr>
              <w:t>c</w:t>
            </w:r>
            <w:r w:rsidRPr="00C25E73">
              <w:rPr>
                <w:sz w:val="18"/>
                <w:szCs w:val="18"/>
              </w:rPr>
              <w:t xml:space="preserve">ase </w:t>
            </w:r>
            <w:r>
              <w:rPr>
                <w:sz w:val="18"/>
                <w:szCs w:val="18"/>
              </w:rPr>
              <w:t>s</w:t>
            </w:r>
            <w:r w:rsidRPr="00C25E73">
              <w:rPr>
                <w:sz w:val="18"/>
                <w:szCs w:val="18"/>
              </w:rPr>
              <w:t xml:space="preserve">tudy 2.3.6 on </w:t>
            </w:r>
            <w:r>
              <w:rPr>
                <w:sz w:val="18"/>
                <w:szCs w:val="18"/>
              </w:rPr>
              <w:t xml:space="preserve">the </w:t>
            </w:r>
            <w:r w:rsidRPr="00C25E73">
              <w:rPr>
                <w:sz w:val="18"/>
                <w:szCs w:val="18"/>
              </w:rPr>
              <w:t xml:space="preserve">border region of France, Belgium and Luxembourg. </w:t>
            </w:r>
          </w:p>
        </w:tc>
      </w:tr>
      <w:tr w:rsidR="005E3454" w:rsidRPr="00A0472D" w:rsidTr="005F0AF8">
        <w:trPr>
          <w:trHeight w:val="274"/>
        </w:trPr>
        <w:tc>
          <w:tcPr>
            <w:tcW w:w="1276" w:type="dxa"/>
            <w:shd w:val="clear" w:color="auto" w:fill="FFFFFF" w:themeFill="background1"/>
          </w:tcPr>
          <w:p w:rsidR="005E3454" w:rsidRPr="001A52B4" w:rsidRDefault="005E3454" w:rsidP="005F0AF8">
            <w:pPr>
              <w:spacing w:after="0" w:line="240" w:lineRule="auto"/>
              <w:rPr>
                <w:rFonts w:cs="Calibri"/>
                <w:sz w:val="18"/>
                <w:szCs w:val="18"/>
                <w:lang w:eastAsia="fr-FR"/>
              </w:rPr>
            </w:pPr>
            <w:r w:rsidRPr="00433EC8">
              <w:rPr>
                <w:rFonts w:cs="Calibri"/>
                <w:sz w:val="18"/>
                <w:szCs w:val="18"/>
                <w:lang w:eastAsia="fr-FR"/>
              </w:rPr>
              <w:t xml:space="preserve">TPM </w:t>
            </w:r>
          </w:p>
        </w:tc>
        <w:tc>
          <w:tcPr>
            <w:tcW w:w="1418" w:type="dxa"/>
            <w:shd w:val="clear" w:color="auto" w:fill="FFFFFF" w:themeFill="background1"/>
          </w:tcPr>
          <w:p w:rsidR="005E3454" w:rsidRPr="001A52B4" w:rsidRDefault="005E3454" w:rsidP="005F0AF8">
            <w:pPr>
              <w:spacing w:after="0" w:line="20" w:lineRule="atLeast"/>
              <w:rPr>
                <w:rFonts w:cs="Calibri"/>
                <w:sz w:val="18"/>
                <w:szCs w:val="18"/>
                <w:lang w:eastAsia="fr-FR"/>
              </w:rPr>
            </w:pPr>
            <w:r>
              <w:rPr>
                <w:rFonts w:cs="Calibri"/>
                <w:sz w:val="18"/>
                <w:szCs w:val="18"/>
                <w:lang w:eastAsia="fr-FR"/>
              </w:rPr>
              <w:t>Territorial performance</w:t>
            </w:r>
          </w:p>
        </w:tc>
        <w:tc>
          <w:tcPr>
            <w:tcW w:w="5670" w:type="dxa"/>
            <w:shd w:val="clear" w:color="auto" w:fill="FFFFFF" w:themeFill="background1"/>
          </w:tcPr>
          <w:p w:rsidR="005E3454" w:rsidRPr="00C25E73" w:rsidRDefault="005E3454" w:rsidP="005F0AF8">
            <w:pPr>
              <w:autoSpaceDE w:val="0"/>
              <w:autoSpaceDN w:val="0"/>
              <w:adjustRightInd w:val="0"/>
              <w:spacing w:after="0" w:line="240" w:lineRule="auto"/>
              <w:rPr>
                <w:rFonts w:cs="Verdana-BoldItalic"/>
                <w:bCs/>
                <w:iCs/>
                <w:sz w:val="18"/>
                <w:szCs w:val="18"/>
                <w:lang w:eastAsia="de-DE"/>
              </w:rPr>
            </w:pPr>
            <w:r w:rsidRPr="00433EC8">
              <w:rPr>
                <w:rFonts w:cs="Calibri"/>
                <w:sz w:val="18"/>
                <w:szCs w:val="18"/>
                <w:lang w:eastAsia="fr-FR"/>
              </w:rPr>
              <w:t xml:space="preserve">It establishes </w:t>
            </w:r>
            <w:r w:rsidRPr="002F646B">
              <w:rPr>
                <w:rFonts w:cs="Calibri"/>
                <w:sz w:val="18"/>
                <w:szCs w:val="18"/>
                <w:lang w:eastAsia="fr-FR"/>
              </w:rPr>
              <w:t>knowledge o</w:t>
            </w:r>
            <w:r>
              <w:rPr>
                <w:rFonts w:cs="Calibri"/>
                <w:sz w:val="18"/>
                <w:szCs w:val="18"/>
                <w:lang w:eastAsia="fr-FR"/>
              </w:rPr>
              <w:t xml:space="preserve">f </w:t>
            </w:r>
            <w:r w:rsidRPr="002F646B">
              <w:rPr>
                <w:rFonts w:cs="Calibri"/>
                <w:sz w:val="18"/>
                <w:szCs w:val="18"/>
                <w:lang w:eastAsia="fr-FR"/>
              </w:rPr>
              <w:t>macro challenges at the regional level</w:t>
            </w:r>
            <w:r>
              <w:rPr>
                <w:rFonts w:cs="Calibri"/>
                <w:sz w:val="18"/>
                <w:szCs w:val="18"/>
                <w:lang w:eastAsia="fr-FR"/>
              </w:rPr>
              <w:t>.</w:t>
            </w:r>
            <w:r w:rsidRPr="002F646B">
              <w:rPr>
                <w:rFonts w:cs="Calibri"/>
                <w:sz w:val="18"/>
                <w:szCs w:val="18"/>
                <w:lang w:eastAsia="fr-FR"/>
              </w:rPr>
              <w:t xml:space="preserve"> </w:t>
            </w:r>
            <w:r>
              <w:rPr>
                <w:rFonts w:cs="Calibri"/>
                <w:sz w:val="18"/>
                <w:szCs w:val="18"/>
                <w:lang w:eastAsia="fr-FR"/>
              </w:rPr>
              <w:t xml:space="preserve">A case study </w:t>
            </w:r>
            <w:r w:rsidRPr="002F646B">
              <w:rPr>
                <w:rFonts w:cs="Verdana-BoldItalic"/>
                <w:bCs/>
                <w:iCs/>
                <w:sz w:val="18"/>
                <w:szCs w:val="18"/>
                <w:lang w:eastAsia="de-DE"/>
              </w:rPr>
              <w:t>concerns the</w:t>
            </w:r>
            <w:r>
              <w:rPr>
                <w:rFonts w:cs="Verdana-BoldItalic"/>
                <w:bCs/>
                <w:iCs/>
                <w:sz w:val="18"/>
                <w:szCs w:val="18"/>
                <w:lang w:eastAsia="de-DE"/>
              </w:rPr>
              <w:t xml:space="preserve"> region</w:t>
            </w:r>
            <w:r w:rsidRPr="002F646B">
              <w:rPr>
                <w:rFonts w:cs="Verdana-BoldItalic"/>
                <w:bCs/>
                <w:iCs/>
                <w:sz w:val="18"/>
                <w:szCs w:val="18"/>
                <w:lang w:eastAsia="de-DE"/>
              </w:rPr>
              <w:t xml:space="preserve"> of Flanders</w:t>
            </w:r>
            <w:r>
              <w:rPr>
                <w:rFonts w:cs="Verdana-BoldItalic"/>
                <w:bCs/>
                <w:iCs/>
                <w:sz w:val="18"/>
                <w:szCs w:val="18"/>
                <w:lang w:eastAsia="de-DE"/>
              </w:rPr>
              <w:t>.</w:t>
            </w:r>
          </w:p>
        </w:tc>
      </w:tr>
      <w:tr w:rsidR="005E3454" w:rsidRPr="00A0472D" w:rsidTr="005F0AF8">
        <w:trPr>
          <w:trHeight w:val="274"/>
        </w:trPr>
        <w:tc>
          <w:tcPr>
            <w:tcW w:w="1276" w:type="dxa"/>
            <w:shd w:val="clear" w:color="auto" w:fill="FFFFFF" w:themeFill="background1"/>
          </w:tcPr>
          <w:p w:rsidR="005E3454" w:rsidRPr="00ED03D8" w:rsidRDefault="005E3454" w:rsidP="005F0AF8">
            <w:pPr>
              <w:spacing w:after="0" w:line="20" w:lineRule="atLeast"/>
              <w:rPr>
                <w:sz w:val="18"/>
                <w:szCs w:val="18"/>
              </w:rPr>
            </w:pPr>
            <w:r w:rsidRPr="00ED03D8">
              <w:rPr>
                <w:sz w:val="18"/>
                <w:szCs w:val="18"/>
              </w:rPr>
              <w:t>GEOSPECS</w:t>
            </w:r>
          </w:p>
        </w:tc>
        <w:tc>
          <w:tcPr>
            <w:tcW w:w="1418" w:type="dxa"/>
            <w:shd w:val="clear" w:color="auto" w:fill="FFFFFF" w:themeFill="background1"/>
          </w:tcPr>
          <w:p w:rsidR="005E3454" w:rsidRPr="00ED03D8" w:rsidRDefault="005E3454" w:rsidP="005F0AF8">
            <w:pPr>
              <w:spacing w:after="0" w:line="20" w:lineRule="atLeast"/>
              <w:rPr>
                <w:sz w:val="18"/>
                <w:szCs w:val="18"/>
              </w:rPr>
            </w:pPr>
            <w:r w:rsidRPr="00ED03D8">
              <w:rPr>
                <w:sz w:val="18"/>
                <w:szCs w:val="18"/>
              </w:rPr>
              <w:t>Specific types of territories</w:t>
            </w:r>
          </w:p>
        </w:tc>
        <w:tc>
          <w:tcPr>
            <w:tcW w:w="5670" w:type="dxa"/>
            <w:shd w:val="clear" w:color="auto" w:fill="FFFFFF" w:themeFill="background1"/>
          </w:tcPr>
          <w:p w:rsidR="005E3454" w:rsidRPr="00C25E73" w:rsidRDefault="005E3454" w:rsidP="005F0AF8">
            <w:pPr>
              <w:spacing w:after="0" w:line="20" w:lineRule="atLeast"/>
              <w:rPr>
                <w:rFonts w:cs="Calibri"/>
                <w:sz w:val="18"/>
                <w:szCs w:val="18"/>
                <w:lang w:eastAsia="fr-FR"/>
              </w:rPr>
            </w:pPr>
            <w:r w:rsidRPr="00ED03D8">
              <w:rPr>
                <w:rFonts w:cs="Calibri"/>
                <w:sz w:val="18"/>
                <w:szCs w:val="18"/>
                <w:lang w:eastAsia="fr-FR"/>
              </w:rPr>
              <w:t xml:space="preserve">It provides </w:t>
            </w:r>
            <w:r>
              <w:rPr>
                <w:rFonts w:cs="Calibri"/>
                <w:sz w:val="18"/>
                <w:szCs w:val="18"/>
                <w:lang w:eastAsia="fr-FR"/>
              </w:rPr>
              <w:t>describes the</w:t>
            </w:r>
            <w:r w:rsidRPr="00ED03D8">
              <w:rPr>
                <w:rFonts w:cs="Calibri"/>
                <w:sz w:val="18"/>
                <w:szCs w:val="18"/>
                <w:lang w:eastAsia="fr-FR"/>
              </w:rPr>
              <w:t xml:space="preserve"> specific types of territories</w:t>
            </w:r>
            <w:r>
              <w:rPr>
                <w:rFonts w:cs="Calibri"/>
                <w:sz w:val="18"/>
                <w:szCs w:val="18"/>
                <w:lang w:eastAsia="fr-FR"/>
              </w:rPr>
              <w:t xml:space="preserve">. </w:t>
            </w:r>
            <w:r w:rsidRPr="00ED03D8">
              <w:rPr>
                <w:rFonts w:cs="Calibri"/>
                <w:sz w:val="18"/>
                <w:szCs w:val="18"/>
                <w:lang w:eastAsia="fr-FR"/>
              </w:rPr>
              <w:t xml:space="preserve">The project reports the </w:t>
            </w:r>
            <w:r w:rsidRPr="00ED03D8">
              <w:rPr>
                <w:rFonts w:cs="Arial"/>
                <w:sz w:val="18"/>
                <w:szCs w:val="18"/>
                <w:lang w:eastAsia="de-DE"/>
              </w:rPr>
              <w:t>Belgian Coast</w:t>
            </w:r>
            <w:r w:rsidRPr="00ED03D8">
              <w:rPr>
                <w:rFonts w:cs="Calibri"/>
                <w:sz w:val="18"/>
                <w:szCs w:val="18"/>
                <w:lang w:eastAsia="fr-FR"/>
              </w:rPr>
              <w:t xml:space="preserve"> Region of Luxembourg as a case </w:t>
            </w:r>
            <w:r>
              <w:rPr>
                <w:rFonts w:cs="Calibri"/>
                <w:sz w:val="18"/>
                <w:szCs w:val="18"/>
                <w:lang w:eastAsia="fr-FR"/>
              </w:rPr>
              <w:t>s</w:t>
            </w:r>
            <w:r w:rsidRPr="00ED03D8">
              <w:rPr>
                <w:rFonts w:cs="Calibri"/>
                <w:sz w:val="18"/>
                <w:szCs w:val="18"/>
                <w:lang w:eastAsia="fr-FR"/>
              </w:rPr>
              <w:t xml:space="preserve">tudy in the Annex 35 of the Scientific Report. </w:t>
            </w:r>
          </w:p>
        </w:tc>
      </w:tr>
    </w:tbl>
    <w:p w:rsidR="005E3454" w:rsidRDefault="005E3454" w:rsidP="005E3454">
      <w:pPr>
        <w:spacing w:before="240"/>
      </w:pPr>
      <w:r>
        <w:t>Furthermore, some of overall ESPON products of particular interest for territorial cooperation are:</w:t>
      </w:r>
    </w:p>
    <w:p w:rsidR="005E3454" w:rsidRDefault="005E3454" w:rsidP="005E3454">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5E3454" w:rsidRDefault="005E3454" w:rsidP="005E3454">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5E3454" w:rsidRPr="00A33083" w:rsidRDefault="005E3454" w:rsidP="005E3454">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5E3454" w:rsidRDefault="005E3454" w:rsidP="005E3454">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5E3454" w:rsidRPr="00CD642B" w:rsidRDefault="005E3454" w:rsidP="005E3454">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5E3454" w:rsidRDefault="005E3454" w:rsidP="005E3454">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5E3454" w:rsidP="00DC42FA">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241F55" w:rsidRPr="00241F55">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F6BCA" w:rsidRPr="00FB783A" w:rsidRDefault="008F6BCA"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6D2" w:rsidRDefault="00A906D2">
      <w:r>
        <w:separator/>
      </w:r>
    </w:p>
  </w:endnote>
  <w:endnote w:type="continuationSeparator" w:id="0">
    <w:p w:rsidR="00A906D2" w:rsidRDefault="00A906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Bold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CA" w:rsidRDefault="00241F55" w:rsidP="00BC65E1">
    <w:pPr>
      <w:framePr w:wrap="around" w:vAnchor="text" w:hAnchor="margin" w:xAlign="right" w:y="1"/>
      <w:rPr>
        <w:rStyle w:val="PageNumber"/>
      </w:rPr>
    </w:pPr>
    <w:r>
      <w:rPr>
        <w:rStyle w:val="PageNumber"/>
      </w:rPr>
      <w:fldChar w:fldCharType="begin"/>
    </w:r>
    <w:r w:rsidR="008F6BCA">
      <w:rPr>
        <w:rStyle w:val="PageNumber"/>
      </w:rPr>
      <w:instrText xml:space="preserve">PAGE  </w:instrText>
    </w:r>
    <w:r>
      <w:rPr>
        <w:rStyle w:val="PageNumber"/>
      </w:rPr>
      <w:fldChar w:fldCharType="separate"/>
    </w:r>
    <w:r w:rsidR="008F6BCA">
      <w:rPr>
        <w:rStyle w:val="PageNumber"/>
        <w:noProof/>
      </w:rPr>
      <w:t>3</w:t>
    </w:r>
    <w:r>
      <w:rPr>
        <w:rStyle w:val="PageNumber"/>
      </w:rPr>
      <w:fldChar w:fldCharType="end"/>
    </w:r>
  </w:p>
  <w:p w:rsidR="008F6BCA" w:rsidRDefault="008F6BCA">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CA" w:rsidRPr="00A15B61" w:rsidRDefault="00241F55" w:rsidP="00BC65E1">
    <w:pPr>
      <w:pStyle w:val="Footer"/>
      <w:framePr w:wrap="around" w:vAnchor="text" w:hAnchor="margin" w:xAlign="right" w:y="1"/>
      <w:rPr>
        <w:rStyle w:val="PageNumber"/>
      </w:rPr>
    </w:pPr>
    <w:r w:rsidRPr="00A15B61">
      <w:rPr>
        <w:rStyle w:val="PageNumber"/>
        <w:szCs w:val="20"/>
      </w:rPr>
      <w:fldChar w:fldCharType="begin"/>
    </w:r>
    <w:r w:rsidR="008F6BCA">
      <w:rPr>
        <w:rStyle w:val="PageNumber"/>
        <w:szCs w:val="20"/>
      </w:rPr>
      <w:instrText>PAGE</w:instrText>
    </w:r>
    <w:r w:rsidR="008F6BCA" w:rsidRPr="00A15B61">
      <w:rPr>
        <w:rStyle w:val="PageNumber"/>
        <w:szCs w:val="20"/>
      </w:rPr>
      <w:instrText xml:space="preserve">  </w:instrText>
    </w:r>
    <w:r w:rsidRPr="00A15B61">
      <w:rPr>
        <w:rStyle w:val="PageNumber"/>
        <w:szCs w:val="20"/>
      </w:rPr>
      <w:fldChar w:fldCharType="separate"/>
    </w:r>
    <w:r w:rsidR="00642ECD">
      <w:rPr>
        <w:rStyle w:val="PageNumber"/>
        <w:noProof/>
        <w:szCs w:val="20"/>
      </w:rPr>
      <w:t>1</w:t>
    </w:r>
    <w:r w:rsidRPr="00A15B61">
      <w:rPr>
        <w:rStyle w:val="PageNumber"/>
        <w:szCs w:val="20"/>
      </w:rPr>
      <w:fldChar w:fldCharType="end"/>
    </w:r>
  </w:p>
  <w:p w:rsidR="008F6BCA" w:rsidRPr="00A15B61" w:rsidRDefault="008F6BCA"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CA" w:rsidRPr="00A15B61" w:rsidRDefault="00241F55" w:rsidP="00BC65E1">
    <w:pPr>
      <w:pStyle w:val="Footer"/>
      <w:framePr w:wrap="around" w:vAnchor="text" w:hAnchor="margin" w:xAlign="right" w:y="1"/>
      <w:rPr>
        <w:rStyle w:val="PageNumber"/>
      </w:rPr>
    </w:pPr>
    <w:r w:rsidRPr="00A15B61">
      <w:rPr>
        <w:rStyle w:val="PageNumber"/>
        <w:szCs w:val="20"/>
      </w:rPr>
      <w:fldChar w:fldCharType="begin"/>
    </w:r>
    <w:r w:rsidR="008F6BCA">
      <w:rPr>
        <w:rStyle w:val="PageNumber"/>
        <w:szCs w:val="20"/>
      </w:rPr>
      <w:instrText>PAGE</w:instrText>
    </w:r>
    <w:r w:rsidR="008F6BCA" w:rsidRPr="00A15B61">
      <w:rPr>
        <w:rStyle w:val="PageNumber"/>
        <w:szCs w:val="20"/>
      </w:rPr>
      <w:instrText xml:space="preserve">  </w:instrText>
    </w:r>
    <w:r w:rsidRPr="00A15B61">
      <w:rPr>
        <w:rStyle w:val="PageNumber"/>
        <w:szCs w:val="20"/>
      </w:rPr>
      <w:fldChar w:fldCharType="separate"/>
    </w:r>
    <w:r w:rsidR="00642ECD">
      <w:rPr>
        <w:rStyle w:val="PageNumber"/>
        <w:noProof/>
        <w:szCs w:val="20"/>
      </w:rPr>
      <w:t>3</w:t>
    </w:r>
    <w:r w:rsidRPr="00A15B61">
      <w:rPr>
        <w:rStyle w:val="PageNumber"/>
        <w:szCs w:val="20"/>
      </w:rPr>
      <w:fldChar w:fldCharType="end"/>
    </w:r>
  </w:p>
  <w:p w:rsidR="008F6BCA" w:rsidRPr="00A15B61" w:rsidRDefault="008F6BCA"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6D2" w:rsidRDefault="00A906D2">
      <w:r>
        <w:separator/>
      </w:r>
    </w:p>
  </w:footnote>
  <w:footnote w:type="continuationSeparator" w:id="0">
    <w:p w:rsidR="00A906D2" w:rsidRDefault="00A906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CA" w:rsidRDefault="00241F55">
    <w:pPr>
      <w:pStyle w:val="Header"/>
    </w:pPr>
    <w:r w:rsidRPr="00241F55">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F6BCA" w:rsidRDefault="008F6BCA"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F6BCA" w:rsidRPr="00721B03" w:rsidRDefault="008F6BCA"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F6BCA">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CA" w:rsidRDefault="008F6B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2C95"/>
    <w:rsid w:val="00073957"/>
    <w:rsid w:val="00073BFF"/>
    <w:rsid w:val="000767B8"/>
    <w:rsid w:val="00077C32"/>
    <w:rsid w:val="000812A6"/>
    <w:rsid w:val="00083607"/>
    <w:rsid w:val="00085BAD"/>
    <w:rsid w:val="00085F22"/>
    <w:rsid w:val="00086387"/>
    <w:rsid w:val="000A0B9B"/>
    <w:rsid w:val="000A0F69"/>
    <w:rsid w:val="000A647A"/>
    <w:rsid w:val="000B3819"/>
    <w:rsid w:val="000B4718"/>
    <w:rsid w:val="000B58AA"/>
    <w:rsid w:val="000B7A7D"/>
    <w:rsid w:val="000B7F4E"/>
    <w:rsid w:val="000C2E8B"/>
    <w:rsid w:val="000C36A1"/>
    <w:rsid w:val="000C405F"/>
    <w:rsid w:val="000C4070"/>
    <w:rsid w:val="000C716F"/>
    <w:rsid w:val="000D0D18"/>
    <w:rsid w:val="000D3299"/>
    <w:rsid w:val="000D57C9"/>
    <w:rsid w:val="000D7CC4"/>
    <w:rsid w:val="000E641B"/>
    <w:rsid w:val="000E6CC8"/>
    <w:rsid w:val="000E76EB"/>
    <w:rsid w:val="000F1BA2"/>
    <w:rsid w:val="000F2140"/>
    <w:rsid w:val="00104631"/>
    <w:rsid w:val="00105B9D"/>
    <w:rsid w:val="00112060"/>
    <w:rsid w:val="001120BB"/>
    <w:rsid w:val="00112693"/>
    <w:rsid w:val="0011785C"/>
    <w:rsid w:val="001229FF"/>
    <w:rsid w:val="0012533B"/>
    <w:rsid w:val="001260F4"/>
    <w:rsid w:val="00126FC2"/>
    <w:rsid w:val="00127104"/>
    <w:rsid w:val="00132FDD"/>
    <w:rsid w:val="00133602"/>
    <w:rsid w:val="00134DC7"/>
    <w:rsid w:val="0013600B"/>
    <w:rsid w:val="00144F49"/>
    <w:rsid w:val="00147567"/>
    <w:rsid w:val="001507D7"/>
    <w:rsid w:val="00150A5A"/>
    <w:rsid w:val="00150FCB"/>
    <w:rsid w:val="00151954"/>
    <w:rsid w:val="00152974"/>
    <w:rsid w:val="00153108"/>
    <w:rsid w:val="0015691A"/>
    <w:rsid w:val="00157B13"/>
    <w:rsid w:val="00162FF6"/>
    <w:rsid w:val="0016435C"/>
    <w:rsid w:val="00166D5D"/>
    <w:rsid w:val="00172B99"/>
    <w:rsid w:val="00177F0B"/>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3F0C"/>
    <w:rsid w:val="00207B3F"/>
    <w:rsid w:val="0021343D"/>
    <w:rsid w:val="00213A52"/>
    <w:rsid w:val="002146DB"/>
    <w:rsid w:val="0022077E"/>
    <w:rsid w:val="00220A8C"/>
    <w:rsid w:val="002214A4"/>
    <w:rsid w:val="00221A45"/>
    <w:rsid w:val="00223DE3"/>
    <w:rsid w:val="002250F3"/>
    <w:rsid w:val="00227652"/>
    <w:rsid w:val="002371D8"/>
    <w:rsid w:val="00241F55"/>
    <w:rsid w:val="00244300"/>
    <w:rsid w:val="00253237"/>
    <w:rsid w:val="0025373C"/>
    <w:rsid w:val="00254836"/>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7776"/>
    <w:rsid w:val="002B12F7"/>
    <w:rsid w:val="002B1929"/>
    <w:rsid w:val="002B34E2"/>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15972"/>
    <w:rsid w:val="00320E49"/>
    <w:rsid w:val="00322B33"/>
    <w:rsid w:val="003253E2"/>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63EF5"/>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4BB2"/>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1FE"/>
    <w:rsid w:val="003F196C"/>
    <w:rsid w:val="003F6066"/>
    <w:rsid w:val="00401DDB"/>
    <w:rsid w:val="004024D3"/>
    <w:rsid w:val="00402955"/>
    <w:rsid w:val="004043C4"/>
    <w:rsid w:val="004047DE"/>
    <w:rsid w:val="00404925"/>
    <w:rsid w:val="004054C3"/>
    <w:rsid w:val="0040760B"/>
    <w:rsid w:val="00410A29"/>
    <w:rsid w:val="00410C12"/>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3F1C"/>
    <w:rsid w:val="0046572E"/>
    <w:rsid w:val="00467598"/>
    <w:rsid w:val="00470A8B"/>
    <w:rsid w:val="00472744"/>
    <w:rsid w:val="00473131"/>
    <w:rsid w:val="00475DCB"/>
    <w:rsid w:val="004778EB"/>
    <w:rsid w:val="00477CEB"/>
    <w:rsid w:val="0048039B"/>
    <w:rsid w:val="004854D1"/>
    <w:rsid w:val="00485672"/>
    <w:rsid w:val="00486BD7"/>
    <w:rsid w:val="004900DF"/>
    <w:rsid w:val="004933BE"/>
    <w:rsid w:val="00497685"/>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39BD"/>
    <w:rsid w:val="004E3B1D"/>
    <w:rsid w:val="004E3C07"/>
    <w:rsid w:val="004F0F17"/>
    <w:rsid w:val="004F26B8"/>
    <w:rsid w:val="004F4013"/>
    <w:rsid w:val="004F6946"/>
    <w:rsid w:val="005023B0"/>
    <w:rsid w:val="00502D0D"/>
    <w:rsid w:val="00502E0A"/>
    <w:rsid w:val="00505959"/>
    <w:rsid w:val="005061BA"/>
    <w:rsid w:val="005068F2"/>
    <w:rsid w:val="005070C8"/>
    <w:rsid w:val="00511059"/>
    <w:rsid w:val="00512B83"/>
    <w:rsid w:val="005131EA"/>
    <w:rsid w:val="00524215"/>
    <w:rsid w:val="00526E5A"/>
    <w:rsid w:val="005322AA"/>
    <w:rsid w:val="00541834"/>
    <w:rsid w:val="0054220D"/>
    <w:rsid w:val="005423A5"/>
    <w:rsid w:val="005433C5"/>
    <w:rsid w:val="00545F8A"/>
    <w:rsid w:val="005463AC"/>
    <w:rsid w:val="00552FAD"/>
    <w:rsid w:val="0055556E"/>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4128"/>
    <w:rsid w:val="005A5FC4"/>
    <w:rsid w:val="005A73D9"/>
    <w:rsid w:val="005A7DFC"/>
    <w:rsid w:val="005B3722"/>
    <w:rsid w:val="005C108D"/>
    <w:rsid w:val="005C4BB8"/>
    <w:rsid w:val="005C58DE"/>
    <w:rsid w:val="005C6D17"/>
    <w:rsid w:val="005D0C21"/>
    <w:rsid w:val="005D1921"/>
    <w:rsid w:val="005D2D0B"/>
    <w:rsid w:val="005D53EE"/>
    <w:rsid w:val="005D621D"/>
    <w:rsid w:val="005D78FE"/>
    <w:rsid w:val="005E27FA"/>
    <w:rsid w:val="005E303B"/>
    <w:rsid w:val="005E3454"/>
    <w:rsid w:val="005E463C"/>
    <w:rsid w:val="005E4E4C"/>
    <w:rsid w:val="005E6290"/>
    <w:rsid w:val="005F24DD"/>
    <w:rsid w:val="005F2D05"/>
    <w:rsid w:val="005F7BDC"/>
    <w:rsid w:val="0060091E"/>
    <w:rsid w:val="00604349"/>
    <w:rsid w:val="00610DAB"/>
    <w:rsid w:val="00615443"/>
    <w:rsid w:val="0061660C"/>
    <w:rsid w:val="00616DE9"/>
    <w:rsid w:val="0061757F"/>
    <w:rsid w:val="00632676"/>
    <w:rsid w:val="006326AB"/>
    <w:rsid w:val="00633FE2"/>
    <w:rsid w:val="00642ECD"/>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3C24"/>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3D1B"/>
    <w:rsid w:val="006F49F1"/>
    <w:rsid w:val="006F4E16"/>
    <w:rsid w:val="00702CB8"/>
    <w:rsid w:val="00707885"/>
    <w:rsid w:val="0071023A"/>
    <w:rsid w:val="007107A7"/>
    <w:rsid w:val="007119D4"/>
    <w:rsid w:val="00712430"/>
    <w:rsid w:val="007153BD"/>
    <w:rsid w:val="00716E65"/>
    <w:rsid w:val="007172A4"/>
    <w:rsid w:val="0072114B"/>
    <w:rsid w:val="007244F6"/>
    <w:rsid w:val="00724928"/>
    <w:rsid w:val="00725832"/>
    <w:rsid w:val="00726D46"/>
    <w:rsid w:val="00732C90"/>
    <w:rsid w:val="007370BC"/>
    <w:rsid w:val="007375D5"/>
    <w:rsid w:val="007423B2"/>
    <w:rsid w:val="007456E2"/>
    <w:rsid w:val="00747707"/>
    <w:rsid w:val="0075343D"/>
    <w:rsid w:val="00761029"/>
    <w:rsid w:val="0076148F"/>
    <w:rsid w:val="00763BC1"/>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C5EB6"/>
    <w:rsid w:val="007D4126"/>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4200"/>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226C"/>
    <w:rsid w:val="008C37DF"/>
    <w:rsid w:val="008C446D"/>
    <w:rsid w:val="008C5656"/>
    <w:rsid w:val="008C7A02"/>
    <w:rsid w:val="008C7EA6"/>
    <w:rsid w:val="008D0268"/>
    <w:rsid w:val="008D1558"/>
    <w:rsid w:val="008D2417"/>
    <w:rsid w:val="008D3E90"/>
    <w:rsid w:val="008D4CB6"/>
    <w:rsid w:val="008D7746"/>
    <w:rsid w:val="008E033C"/>
    <w:rsid w:val="008E0DFA"/>
    <w:rsid w:val="008E146A"/>
    <w:rsid w:val="008E24D2"/>
    <w:rsid w:val="008E385E"/>
    <w:rsid w:val="008E4D86"/>
    <w:rsid w:val="008E6B67"/>
    <w:rsid w:val="008F3EE5"/>
    <w:rsid w:val="008F6322"/>
    <w:rsid w:val="008F6BCA"/>
    <w:rsid w:val="008F7203"/>
    <w:rsid w:val="00903C1E"/>
    <w:rsid w:val="00905001"/>
    <w:rsid w:val="00906A2B"/>
    <w:rsid w:val="009116A2"/>
    <w:rsid w:val="00911A6A"/>
    <w:rsid w:val="009128C7"/>
    <w:rsid w:val="0091343C"/>
    <w:rsid w:val="00913874"/>
    <w:rsid w:val="00921D38"/>
    <w:rsid w:val="009231BB"/>
    <w:rsid w:val="0092562C"/>
    <w:rsid w:val="00927D4F"/>
    <w:rsid w:val="00931A61"/>
    <w:rsid w:val="00934293"/>
    <w:rsid w:val="009374EF"/>
    <w:rsid w:val="0093778A"/>
    <w:rsid w:val="0094059F"/>
    <w:rsid w:val="00943F1C"/>
    <w:rsid w:val="00946375"/>
    <w:rsid w:val="00950AA4"/>
    <w:rsid w:val="00951B33"/>
    <w:rsid w:val="00952C12"/>
    <w:rsid w:val="009540EB"/>
    <w:rsid w:val="009607D7"/>
    <w:rsid w:val="00961950"/>
    <w:rsid w:val="00971C9B"/>
    <w:rsid w:val="009727D3"/>
    <w:rsid w:val="009729A4"/>
    <w:rsid w:val="00973416"/>
    <w:rsid w:val="00974016"/>
    <w:rsid w:val="00974649"/>
    <w:rsid w:val="00977AED"/>
    <w:rsid w:val="00983AB6"/>
    <w:rsid w:val="00991B58"/>
    <w:rsid w:val="0099613A"/>
    <w:rsid w:val="00997518"/>
    <w:rsid w:val="009A379F"/>
    <w:rsid w:val="009A768F"/>
    <w:rsid w:val="009A7921"/>
    <w:rsid w:val="009B2BE6"/>
    <w:rsid w:val="009B4050"/>
    <w:rsid w:val="009B592C"/>
    <w:rsid w:val="009B5B47"/>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1607"/>
    <w:rsid w:val="009F21F0"/>
    <w:rsid w:val="009F2583"/>
    <w:rsid w:val="009F3D83"/>
    <w:rsid w:val="009F4A8B"/>
    <w:rsid w:val="009F7417"/>
    <w:rsid w:val="009F77A8"/>
    <w:rsid w:val="00A02FD6"/>
    <w:rsid w:val="00A0472D"/>
    <w:rsid w:val="00A06AEA"/>
    <w:rsid w:val="00A12916"/>
    <w:rsid w:val="00A13E7F"/>
    <w:rsid w:val="00A14BAC"/>
    <w:rsid w:val="00A15A41"/>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906D2"/>
    <w:rsid w:val="00A91FBB"/>
    <w:rsid w:val="00A9486C"/>
    <w:rsid w:val="00A967C7"/>
    <w:rsid w:val="00A9708D"/>
    <w:rsid w:val="00AA06DC"/>
    <w:rsid w:val="00AA2C67"/>
    <w:rsid w:val="00AA31DE"/>
    <w:rsid w:val="00AA4952"/>
    <w:rsid w:val="00AA5486"/>
    <w:rsid w:val="00AA65A5"/>
    <w:rsid w:val="00AB0D96"/>
    <w:rsid w:val="00AB0F46"/>
    <w:rsid w:val="00AB16F9"/>
    <w:rsid w:val="00AB23D7"/>
    <w:rsid w:val="00AB243A"/>
    <w:rsid w:val="00AB5BB9"/>
    <w:rsid w:val="00AB6431"/>
    <w:rsid w:val="00AB7D5A"/>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5B3"/>
    <w:rsid w:val="00B328F8"/>
    <w:rsid w:val="00B43B1B"/>
    <w:rsid w:val="00B45029"/>
    <w:rsid w:val="00B472A4"/>
    <w:rsid w:val="00B47314"/>
    <w:rsid w:val="00B47B1B"/>
    <w:rsid w:val="00B47EEE"/>
    <w:rsid w:val="00B515FB"/>
    <w:rsid w:val="00B51A9A"/>
    <w:rsid w:val="00B54542"/>
    <w:rsid w:val="00B55DC5"/>
    <w:rsid w:val="00B57F87"/>
    <w:rsid w:val="00B57FCF"/>
    <w:rsid w:val="00B601F1"/>
    <w:rsid w:val="00B6026B"/>
    <w:rsid w:val="00B61D5A"/>
    <w:rsid w:val="00B62A5F"/>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5C45"/>
    <w:rsid w:val="00BE0557"/>
    <w:rsid w:val="00BE188E"/>
    <w:rsid w:val="00BE223D"/>
    <w:rsid w:val="00BE4274"/>
    <w:rsid w:val="00BE6599"/>
    <w:rsid w:val="00BF02D6"/>
    <w:rsid w:val="00BF378B"/>
    <w:rsid w:val="00BF3C62"/>
    <w:rsid w:val="00BF56C7"/>
    <w:rsid w:val="00C00C96"/>
    <w:rsid w:val="00C019EF"/>
    <w:rsid w:val="00C033E5"/>
    <w:rsid w:val="00C04A1F"/>
    <w:rsid w:val="00C04A31"/>
    <w:rsid w:val="00C05359"/>
    <w:rsid w:val="00C0554A"/>
    <w:rsid w:val="00C11D58"/>
    <w:rsid w:val="00C13427"/>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6A4C"/>
    <w:rsid w:val="00C603EB"/>
    <w:rsid w:val="00C664BB"/>
    <w:rsid w:val="00C675CC"/>
    <w:rsid w:val="00C7069F"/>
    <w:rsid w:val="00C71718"/>
    <w:rsid w:val="00C7538F"/>
    <w:rsid w:val="00C76A20"/>
    <w:rsid w:val="00C77C7E"/>
    <w:rsid w:val="00C77D2A"/>
    <w:rsid w:val="00C809FF"/>
    <w:rsid w:val="00C86C99"/>
    <w:rsid w:val="00C9580A"/>
    <w:rsid w:val="00C9704F"/>
    <w:rsid w:val="00C97D73"/>
    <w:rsid w:val="00CA207A"/>
    <w:rsid w:val="00CA3C33"/>
    <w:rsid w:val="00CA4369"/>
    <w:rsid w:val="00CA6583"/>
    <w:rsid w:val="00CB28C9"/>
    <w:rsid w:val="00CB672B"/>
    <w:rsid w:val="00CB7211"/>
    <w:rsid w:val="00CC1A98"/>
    <w:rsid w:val="00CC1F45"/>
    <w:rsid w:val="00CC6723"/>
    <w:rsid w:val="00CC7EC5"/>
    <w:rsid w:val="00CD2855"/>
    <w:rsid w:val="00CD45BE"/>
    <w:rsid w:val="00CD5112"/>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18F2"/>
    <w:rsid w:val="00D32EA8"/>
    <w:rsid w:val="00D401D5"/>
    <w:rsid w:val="00D41605"/>
    <w:rsid w:val="00D42ABD"/>
    <w:rsid w:val="00D42E31"/>
    <w:rsid w:val="00D42EB6"/>
    <w:rsid w:val="00D432EA"/>
    <w:rsid w:val="00D44FB6"/>
    <w:rsid w:val="00D4725B"/>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857F4"/>
    <w:rsid w:val="00D94F5F"/>
    <w:rsid w:val="00DA1668"/>
    <w:rsid w:val="00DA20D3"/>
    <w:rsid w:val="00DA3493"/>
    <w:rsid w:val="00DA3852"/>
    <w:rsid w:val="00DA49C4"/>
    <w:rsid w:val="00DA63BF"/>
    <w:rsid w:val="00DA6F83"/>
    <w:rsid w:val="00DB42BD"/>
    <w:rsid w:val="00DB605C"/>
    <w:rsid w:val="00DC00E9"/>
    <w:rsid w:val="00DC0823"/>
    <w:rsid w:val="00DC21BC"/>
    <w:rsid w:val="00DC3E4C"/>
    <w:rsid w:val="00DC42FA"/>
    <w:rsid w:val="00DC4E40"/>
    <w:rsid w:val="00DC55C7"/>
    <w:rsid w:val="00DC60A4"/>
    <w:rsid w:val="00DC6422"/>
    <w:rsid w:val="00DD0539"/>
    <w:rsid w:val="00DD5DDA"/>
    <w:rsid w:val="00DE0D99"/>
    <w:rsid w:val="00DE3E55"/>
    <w:rsid w:val="00DE54D2"/>
    <w:rsid w:val="00DE584B"/>
    <w:rsid w:val="00DF22D8"/>
    <w:rsid w:val="00DF76E3"/>
    <w:rsid w:val="00E02024"/>
    <w:rsid w:val="00E03013"/>
    <w:rsid w:val="00E03104"/>
    <w:rsid w:val="00E03ABA"/>
    <w:rsid w:val="00E04EC2"/>
    <w:rsid w:val="00E10213"/>
    <w:rsid w:val="00E108F5"/>
    <w:rsid w:val="00E11808"/>
    <w:rsid w:val="00E11D51"/>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0207"/>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4FAD"/>
    <w:rsid w:val="00F158C5"/>
    <w:rsid w:val="00F20E21"/>
    <w:rsid w:val="00F212C3"/>
    <w:rsid w:val="00F252AD"/>
    <w:rsid w:val="00F320EF"/>
    <w:rsid w:val="00F3218A"/>
    <w:rsid w:val="00F34787"/>
    <w:rsid w:val="00F358CB"/>
    <w:rsid w:val="00F405D2"/>
    <w:rsid w:val="00F45305"/>
    <w:rsid w:val="00F47743"/>
    <w:rsid w:val="00F519FB"/>
    <w:rsid w:val="00F54E2D"/>
    <w:rsid w:val="00F57119"/>
    <w:rsid w:val="00F60CB5"/>
    <w:rsid w:val="00F70635"/>
    <w:rsid w:val="00F71E37"/>
    <w:rsid w:val="00F738B9"/>
    <w:rsid w:val="00F74241"/>
    <w:rsid w:val="00F77867"/>
    <w:rsid w:val="00F77A11"/>
    <w:rsid w:val="00F77AD1"/>
    <w:rsid w:val="00F804D1"/>
    <w:rsid w:val="00F81275"/>
    <w:rsid w:val="00F8766A"/>
    <w:rsid w:val="00F92391"/>
    <w:rsid w:val="00FA0267"/>
    <w:rsid w:val="00FA1FBB"/>
    <w:rsid w:val="00FA4A6B"/>
    <w:rsid w:val="00FB3AD9"/>
    <w:rsid w:val="00FC08B7"/>
    <w:rsid w:val="00FC2270"/>
    <w:rsid w:val="00FC5035"/>
    <w:rsid w:val="00FC5AE6"/>
    <w:rsid w:val="00FC6A8F"/>
    <w:rsid w:val="00FD413B"/>
    <w:rsid w:val="00FD4E3A"/>
    <w:rsid w:val="00FD54FE"/>
    <w:rsid w:val="00FD6260"/>
    <w:rsid w:val="00FD70D0"/>
    <w:rsid w:val="00FE7D95"/>
    <w:rsid w:val="00FF0A1E"/>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194465078">
      <w:bodyDiv w:val="1"/>
      <w:marLeft w:val="0"/>
      <w:marRight w:val="0"/>
      <w:marTop w:val="0"/>
      <w:marBottom w:val="0"/>
      <w:divBdr>
        <w:top w:val="none" w:sz="0" w:space="0" w:color="auto"/>
        <w:left w:val="none" w:sz="0" w:space="0" w:color="auto"/>
        <w:bottom w:val="none" w:sz="0" w:space="0" w:color="auto"/>
        <w:right w:val="none" w:sz="0" w:space="0" w:color="auto"/>
      </w:divBdr>
    </w:div>
    <w:div w:id="1498299730">
      <w:bodyDiv w:val="1"/>
      <w:marLeft w:val="0"/>
      <w:marRight w:val="0"/>
      <w:marTop w:val="0"/>
      <w:marBottom w:val="0"/>
      <w:divBdr>
        <w:top w:val="none" w:sz="0" w:space="0" w:color="auto"/>
        <w:left w:val="none" w:sz="0" w:space="0" w:color="auto"/>
        <w:bottom w:val="none" w:sz="0" w:space="0" w:color="auto"/>
        <w:right w:val="none" w:sz="0" w:space="0" w:color="auto"/>
      </w:divBdr>
    </w:div>
    <w:div w:id="163914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3.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CF2681E-BE7D-4C89-AD7F-C048BCE6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3254</Words>
  <Characters>18548</Characters>
  <Application>Microsoft Office Word</Application>
  <DocSecurity>0</DocSecurity>
  <Lines>154</Lines>
  <Paragraphs>43</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21759</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19</cp:revision>
  <cp:lastPrinted>2012-11-05T12:02:00Z</cp:lastPrinted>
  <dcterms:created xsi:type="dcterms:W3CDTF">2012-11-20T09:58:00Z</dcterms:created>
  <dcterms:modified xsi:type="dcterms:W3CDTF">2012-11-27T10:40:00Z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