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65E1" w:rsidRDefault="00BC65E1" w:rsidP="00BC65E1"/>
    <w:p w:rsidR="00BC65E1" w:rsidRDefault="00BC65E1" w:rsidP="00BC65E1"/>
    <w:p w:rsidR="00BC65E1" w:rsidRDefault="00BC65E1" w:rsidP="00BC65E1"/>
    <w:p w:rsidR="00BC65E1" w:rsidRDefault="00BC65E1" w:rsidP="00BC65E1">
      <w:pPr>
        <w:jc w:val="center"/>
        <w:rPr>
          <w:rFonts w:ascii="Arial" w:hAnsi="Arial" w:cs="Arial"/>
          <w:sz w:val="32"/>
          <w:szCs w:val="32"/>
          <w:lang w:val="en-US"/>
        </w:rPr>
      </w:pPr>
    </w:p>
    <w:p w:rsidR="00BC65E1" w:rsidRDefault="00BC65E1" w:rsidP="00BC65E1">
      <w:pPr>
        <w:jc w:val="center"/>
        <w:rPr>
          <w:rFonts w:ascii="Arial" w:hAnsi="Arial" w:cs="Arial"/>
          <w:sz w:val="32"/>
          <w:szCs w:val="32"/>
          <w:lang w:val="en-US"/>
        </w:rPr>
      </w:pPr>
    </w:p>
    <w:p w:rsidR="00BC65E1" w:rsidRDefault="00BC65E1" w:rsidP="00BC65E1">
      <w:pPr>
        <w:spacing w:after="0" w:line="240" w:lineRule="auto"/>
        <w:jc w:val="center"/>
        <w:rPr>
          <w:rFonts w:ascii="Arial" w:hAnsi="Arial" w:cs="Arial"/>
          <w:sz w:val="32"/>
          <w:szCs w:val="32"/>
          <w:lang w:val="en-US"/>
        </w:rPr>
      </w:pPr>
    </w:p>
    <w:p w:rsidR="00BC65E1" w:rsidRDefault="00BC65E1" w:rsidP="00BC65E1">
      <w:pPr>
        <w:spacing w:after="0" w:line="240" w:lineRule="auto"/>
        <w:jc w:val="center"/>
        <w:rPr>
          <w:rFonts w:ascii="Arial" w:hAnsi="Arial" w:cs="Arial"/>
          <w:sz w:val="32"/>
          <w:szCs w:val="32"/>
          <w:lang w:val="en-US"/>
        </w:rPr>
      </w:pPr>
    </w:p>
    <w:p w:rsidR="00BC65E1" w:rsidRDefault="00BC65E1" w:rsidP="00BC65E1">
      <w:pPr>
        <w:spacing w:after="0" w:line="240" w:lineRule="auto"/>
        <w:jc w:val="center"/>
        <w:rPr>
          <w:rFonts w:ascii="Arial" w:hAnsi="Arial" w:cs="Arial"/>
          <w:sz w:val="32"/>
          <w:szCs w:val="32"/>
          <w:lang w:val="en-US"/>
        </w:rPr>
      </w:pPr>
    </w:p>
    <w:p w:rsidR="00BC65E1" w:rsidRDefault="00BC65E1" w:rsidP="00BC65E1">
      <w:pPr>
        <w:spacing w:after="0" w:line="240" w:lineRule="auto"/>
        <w:jc w:val="center"/>
        <w:rPr>
          <w:rFonts w:ascii="Arial" w:hAnsi="Arial" w:cs="Arial"/>
          <w:sz w:val="32"/>
          <w:szCs w:val="32"/>
          <w:lang w:val="en-US"/>
        </w:rPr>
      </w:pPr>
    </w:p>
    <w:p w:rsidR="00BC65E1" w:rsidRDefault="00BC65E1" w:rsidP="00FC5035">
      <w:pPr>
        <w:spacing w:after="0" w:line="240" w:lineRule="auto"/>
        <w:rPr>
          <w:rFonts w:ascii="Arial" w:hAnsi="Arial" w:cs="Arial"/>
          <w:sz w:val="32"/>
          <w:szCs w:val="32"/>
          <w:lang w:val="en-US"/>
        </w:rPr>
      </w:pPr>
    </w:p>
    <w:p w:rsidR="005070C8" w:rsidRPr="00B31016" w:rsidRDefault="0003499E" w:rsidP="000D3299">
      <w:pPr>
        <w:spacing w:line="240" w:lineRule="auto"/>
        <w:ind w:left="-851"/>
        <w:jc w:val="center"/>
        <w:rPr>
          <w:rFonts w:ascii="Arial" w:hAnsi="Arial" w:cs="Arial"/>
          <w:sz w:val="40"/>
          <w:szCs w:val="40"/>
          <w:lang w:val="en-US"/>
        </w:rPr>
      </w:pPr>
      <w:r w:rsidRPr="00B31016">
        <w:rPr>
          <w:rFonts w:ascii="Arial" w:hAnsi="Arial" w:cs="Arial"/>
          <w:sz w:val="40"/>
          <w:szCs w:val="40"/>
          <w:lang w:val="en-US"/>
        </w:rPr>
        <w:t>Bavaria – Czech Republic</w:t>
      </w:r>
    </w:p>
    <w:p w:rsidR="00E613A3" w:rsidRDefault="00652965" w:rsidP="00337519">
      <w:pPr>
        <w:spacing w:after="0" w:line="240" w:lineRule="auto"/>
        <w:ind w:left="-851"/>
        <w:jc w:val="center"/>
        <w:rPr>
          <w:rFonts w:ascii="Arial" w:hAnsi="Arial" w:cs="Arial"/>
          <w:sz w:val="32"/>
          <w:szCs w:val="32"/>
          <w:lang w:val="en-US"/>
        </w:rPr>
      </w:pPr>
      <w:r>
        <w:rPr>
          <w:rFonts w:ascii="Arial" w:hAnsi="Arial" w:cs="Arial"/>
          <w:noProof/>
          <w:sz w:val="32"/>
          <w:szCs w:val="32"/>
          <w:lang w:val="en-US"/>
        </w:rPr>
        <w:drawing>
          <wp:inline distT="0" distB="0" distL="0" distR="0">
            <wp:extent cx="4229100" cy="5029200"/>
            <wp:effectExtent l="19050" t="0" r="0" b="0"/>
            <wp:docPr id="15"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srcRect/>
                    <a:stretch>
                      <a:fillRect/>
                    </a:stretch>
                  </pic:blipFill>
                  <pic:spPr bwMode="auto">
                    <a:xfrm>
                      <a:off x="0" y="0"/>
                      <a:ext cx="4229100" cy="5029200"/>
                    </a:xfrm>
                    <a:prstGeom prst="rect">
                      <a:avLst/>
                    </a:prstGeom>
                    <a:noFill/>
                    <a:ln w="9525">
                      <a:noFill/>
                      <a:miter lim="800000"/>
                      <a:headEnd/>
                      <a:tailEnd/>
                    </a:ln>
                  </pic:spPr>
                </pic:pic>
              </a:graphicData>
            </a:graphic>
          </wp:inline>
        </w:drawing>
      </w:r>
    </w:p>
    <w:p w:rsidR="005070C8" w:rsidRDefault="005070C8" w:rsidP="00337519">
      <w:pPr>
        <w:spacing w:after="0" w:line="240" w:lineRule="auto"/>
        <w:ind w:left="-851"/>
        <w:jc w:val="center"/>
        <w:rPr>
          <w:rFonts w:ascii="Arial" w:hAnsi="Arial" w:cs="Arial"/>
          <w:sz w:val="32"/>
          <w:szCs w:val="32"/>
          <w:lang w:val="en-US"/>
        </w:rPr>
      </w:pPr>
    </w:p>
    <w:p w:rsidR="00B31016" w:rsidRDefault="00B31016" w:rsidP="00B31016">
      <w:pPr>
        <w:spacing w:after="0" w:line="240" w:lineRule="auto"/>
        <w:ind w:left="-851"/>
        <w:jc w:val="center"/>
        <w:rPr>
          <w:rFonts w:ascii="Arial" w:hAnsi="Arial" w:cs="Arial"/>
          <w:sz w:val="32"/>
          <w:szCs w:val="32"/>
          <w:lang w:val="en-US"/>
        </w:rPr>
      </w:pPr>
      <w:r>
        <w:rPr>
          <w:rFonts w:ascii="Arial" w:hAnsi="Arial" w:cs="Arial"/>
          <w:sz w:val="32"/>
          <w:szCs w:val="32"/>
          <w:lang w:val="en-US"/>
        </w:rPr>
        <w:t xml:space="preserve">ESPON Project TERREVI </w:t>
      </w:r>
    </w:p>
    <w:p w:rsidR="00B31016" w:rsidRDefault="00B31016" w:rsidP="00B31016">
      <w:pPr>
        <w:spacing w:after="0" w:line="240" w:lineRule="auto"/>
        <w:ind w:left="-851"/>
        <w:jc w:val="center"/>
        <w:rPr>
          <w:rFonts w:ascii="Arial" w:hAnsi="Arial" w:cs="Arial"/>
        </w:rPr>
      </w:pPr>
      <w:r>
        <w:rPr>
          <w:rFonts w:ascii="Arial" w:hAnsi="Arial" w:cs="Arial"/>
          <w:sz w:val="32"/>
          <w:szCs w:val="32"/>
          <w:lang w:val="en-US"/>
        </w:rPr>
        <w:t>November 2012</w:t>
      </w:r>
    </w:p>
    <w:p w:rsidR="00BC65E1" w:rsidRPr="00127102" w:rsidRDefault="00BC65E1" w:rsidP="00BC65E1">
      <w:pPr>
        <w:pStyle w:val="ESPONColophon"/>
        <w:ind w:left="810"/>
        <w:rPr>
          <w:rFonts w:ascii="Arial" w:hAnsi="Arial" w:cs="Arial"/>
        </w:rPr>
      </w:pPr>
    </w:p>
    <w:p w:rsidR="00BC65E1" w:rsidRPr="00127102" w:rsidRDefault="00BC65E1" w:rsidP="00BC65E1">
      <w:pPr>
        <w:pStyle w:val="ESPONColophon"/>
        <w:ind w:left="810"/>
        <w:rPr>
          <w:rFonts w:ascii="Arial" w:hAnsi="Arial" w:cs="Arial"/>
        </w:rPr>
        <w:sectPr w:rsidR="00BC65E1" w:rsidRPr="00127102">
          <w:headerReference w:type="default" r:id="rId12"/>
          <w:footerReference w:type="even" r:id="rId13"/>
          <w:footerReference w:type="default" r:id="rId14"/>
          <w:pgSz w:w="11906" w:h="16838"/>
          <w:pgMar w:top="0" w:right="851" w:bottom="1644" w:left="1701" w:header="720" w:footer="720" w:gutter="0"/>
          <w:cols w:space="720"/>
        </w:sectPr>
      </w:pPr>
    </w:p>
    <w:p w:rsidR="00BC65E1" w:rsidRPr="006955F2" w:rsidRDefault="00D52DB1" w:rsidP="00133602">
      <w:pPr>
        <w:pStyle w:val="Heading1"/>
        <w:numPr>
          <w:ilvl w:val="0"/>
          <w:numId w:val="0"/>
        </w:numPr>
        <w:ind w:left="432" w:hanging="432"/>
      </w:pPr>
      <w:r>
        <w:lastRenderedPageBreak/>
        <w:t>Introduction</w:t>
      </w:r>
    </w:p>
    <w:p w:rsidR="000A647A" w:rsidRDefault="000A647A" w:rsidP="000A647A">
      <w:r>
        <w:t xml:space="preserve">ESPON supports policy development in relation to the aim of territorial cohesion and a harmonious development of the European territory. It provides comparable information, evidence, analysis, and scenarios on territorial dynamics, which </w:t>
      </w:r>
      <w:bookmarkStart w:id="0" w:name="_GoBack"/>
      <w:bookmarkEnd w:id="0"/>
      <w:r>
        <w:t>reveal territorial capitals and development potentials of regions and larger territories</w:t>
      </w:r>
      <w:r w:rsidR="003A016A">
        <w:t xml:space="preserve">. Considering the programme area in its </w:t>
      </w:r>
      <w:r w:rsidR="00162FF6">
        <w:t xml:space="preserve">European </w:t>
      </w:r>
      <w:r w:rsidR="003A016A">
        <w:t xml:space="preserve">context adds an important new </w:t>
      </w:r>
      <w:r w:rsidR="00162FF6">
        <w:t>perspective</w:t>
      </w:r>
      <w:r w:rsidR="003A016A">
        <w:t xml:space="preserve"> that can help shaping the programming and the places of implementing projects</w:t>
      </w:r>
      <w:r>
        <w:t xml:space="preserve">. </w:t>
      </w:r>
    </w:p>
    <w:p w:rsidR="000A647A" w:rsidRDefault="000A647A" w:rsidP="000A647A">
      <w:r>
        <w:t xml:space="preserve">The ESPON TERREVI project focuses on producing evidence for Structural Funds programmes with the aim to support the development of the programmes to be carried out in the 2014-2020 period. </w:t>
      </w:r>
    </w:p>
    <w:p w:rsidR="000A647A" w:rsidRDefault="000A647A" w:rsidP="00A265BE">
      <w:pPr>
        <w:shd w:val="clear" w:color="auto" w:fill="FFFFFF" w:themeFill="background1"/>
      </w:pPr>
      <w:r>
        <w:t>One milestone of this work consists in presenting selected ESPON research pieces in easy-to-understand factsheets for all territorial cooperation programme areas. The aim is to provide the reader with preliminary insight on type</w:t>
      </w:r>
      <w:r w:rsidR="005E6290">
        <w:t>s</w:t>
      </w:r>
      <w:r>
        <w:t xml:space="preserve"> of territorial evidence ESPON holds at hand with regard to the possible investment priorities of future programmes. The factsheets certainly only give a first glimpse rather than fully present the work of the large number of ESPON projects that are currently underway. </w:t>
      </w:r>
      <w:r w:rsidR="005E6290">
        <w:t xml:space="preserve">Likewise, each programme area includes diverse development potentials and challenges, which needs targeted information search. </w:t>
      </w:r>
      <w:r>
        <w:t>However, hope</w:t>
      </w:r>
      <w:r w:rsidR="005E6290">
        <w:t>fully</w:t>
      </w:r>
      <w:r>
        <w:t xml:space="preserve"> th</w:t>
      </w:r>
      <w:r w:rsidR="005E6290">
        <w:t>is</w:t>
      </w:r>
      <w:r>
        <w:t xml:space="preserve"> factsheet will contain information</w:t>
      </w:r>
      <w:r w:rsidR="005E6290">
        <w:t>,</w:t>
      </w:r>
      <w:r>
        <w:t xml:space="preserve"> </w:t>
      </w:r>
      <w:r w:rsidR="005E6290">
        <w:t xml:space="preserve">benchmarking the programme area in its larger, territorial context, </w:t>
      </w:r>
      <w:r>
        <w:t xml:space="preserve">that is of interest and help to better </w:t>
      </w:r>
      <w:r w:rsidR="005E6290">
        <w:t xml:space="preserve">understand the programme area and to </w:t>
      </w:r>
      <w:r>
        <w:t xml:space="preserve">navigate within the </w:t>
      </w:r>
      <w:r w:rsidRPr="007456E2">
        <w:t xml:space="preserve">richness of ESPON material available. </w:t>
      </w:r>
    </w:p>
    <w:p w:rsidR="00D83C64" w:rsidRPr="007456E2" w:rsidRDefault="00D83C64" w:rsidP="00A265BE">
      <w:pPr>
        <w:shd w:val="clear" w:color="auto" w:fill="FFFFFF" w:themeFill="background1"/>
      </w:pPr>
      <w:r w:rsidRPr="00D83C64">
        <w:t>In addit</w:t>
      </w:r>
      <w:r>
        <w:t>ion to the programme factsheets there will be a</w:t>
      </w:r>
      <w:r w:rsidRPr="00D83C64">
        <w:t xml:space="preserve"> number of specific programme case studies illustrating how </w:t>
      </w:r>
      <w:r>
        <w:t>ESPON</w:t>
      </w:r>
      <w:r w:rsidRPr="00D83C64">
        <w:t xml:space="preserve"> material can be used to support the development of future programmes e.g. by giving a comparative European dimension to the envisaged SWOTs. These case studies will be carried out in early 2013</w:t>
      </w:r>
      <w:r w:rsidR="008F7203">
        <w:t>.</w:t>
      </w:r>
    </w:p>
    <w:p w:rsidR="001F57B5" w:rsidRPr="0085195F" w:rsidRDefault="000A647A" w:rsidP="001F57B5">
      <w:pPr>
        <w:shd w:val="clear" w:color="auto" w:fill="FFFFFF"/>
      </w:pPr>
      <w:r w:rsidRPr="007456E2">
        <w:t xml:space="preserve">This factsheet is structured in three main parts. </w:t>
      </w:r>
      <w:r w:rsidR="00726D46">
        <w:t>The first part</w:t>
      </w:r>
      <w:r w:rsidRPr="007456E2">
        <w:t xml:space="preserve"> presents a selection of indicators that help comparing the situation of the programme area in question with the European average, the average for all programme areas as well as the situation in the countries involved.</w:t>
      </w:r>
      <w:r w:rsidR="00726D46">
        <w:t xml:space="preserve"> The second part</w:t>
      </w:r>
      <w:r w:rsidRPr="007456E2">
        <w:t xml:space="preserve"> briefly presents the territorial factors of interest for the programme</w:t>
      </w:r>
      <w:r w:rsidR="006A17A6">
        <w:t xml:space="preserve"> area</w:t>
      </w:r>
      <w:r w:rsidRPr="007456E2">
        <w:t xml:space="preserve">. The </w:t>
      </w:r>
      <w:r w:rsidR="00A265BE" w:rsidRPr="007456E2">
        <w:t>final</w:t>
      </w:r>
      <w:r w:rsidRPr="007456E2">
        <w:t xml:space="preserve"> part offers guidance on the further use of ESPON results and tools.</w:t>
      </w:r>
      <w:r>
        <w:t xml:space="preserve"> </w:t>
      </w:r>
      <w:r w:rsidR="001F57B5" w:rsidRPr="0085195F">
        <w:t>This is intended as an electronic publication so map quality is generally high to allow users to zoom into specific territories.</w:t>
      </w:r>
    </w:p>
    <w:p w:rsidR="000A647A" w:rsidRDefault="001F57B5" w:rsidP="001F57B5">
      <w:pPr>
        <w:shd w:val="clear" w:color="auto" w:fill="FFFFFF"/>
      </w:pPr>
      <w:r w:rsidRPr="0085195F">
        <w:t>This factsheet does not necessarily reflect the opinion of the ESPON Monitoring Committee.</w:t>
      </w:r>
    </w:p>
    <w:p w:rsidR="00A433AA" w:rsidRDefault="00A433AA" w:rsidP="00BA161A">
      <w:pPr>
        <w:pStyle w:val="Heading1"/>
      </w:pPr>
      <w:r>
        <w:t xml:space="preserve">Europe 2020 </w:t>
      </w:r>
    </w:p>
    <w:p w:rsidR="000A647A" w:rsidRDefault="000A647A" w:rsidP="000A647A">
      <w:r>
        <w:t>Europe, with its member states and their regions, is more exposed to global shocks and international competition than at any time before. As the world becomes more interdependent this trend will continue and shape policy thinking across sectors</w:t>
      </w:r>
      <w:r w:rsidR="00E93CA8">
        <w:t>, borders</w:t>
      </w:r>
      <w:r>
        <w:t xml:space="preserve"> and geographical scales. At the same time, Europe is characterised by a large territorial diversity meaning that global developments can imply rather different </w:t>
      </w:r>
      <w:r w:rsidR="00B2763C">
        <w:t xml:space="preserve">development possibilities and challenges </w:t>
      </w:r>
      <w:r>
        <w:t xml:space="preserve">for different European regions and cities. </w:t>
      </w:r>
    </w:p>
    <w:p w:rsidR="000A647A" w:rsidRDefault="000A647A" w:rsidP="000A647A">
      <w:r>
        <w:t xml:space="preserve">The differences are partly defined by major geographical structures such as urban systems, </w:t>
      </w:r>
      <w:r w:rsidR="00E93CA8">
        <w:t xml:space="preserve">access and connectivity, </w:t>
      </w:r>
      <w:r>
        <w:t xml:space="preserve">the geographical </w:t>
      </w:r>
      <w:r w:rsidR="00E93CA8">
        <w:t xml:space="preserve">specificity </w:t>
      </w:r>
      <w:r>
        <w:t>or population density. At the same time, the differences are also spelled out in the larger development trends that affect an area</w:t>
      </w:r>
      <w:r w:rsidR="00B2763C">
        <w:t>,</w:t>
      </w:r>
      <w:r>
        <w:t xml:space="preserve"> and the way and degree to which it </w:t>
      </w:r>
      <w:r w:rsidR="00B2763C">
        <w:t xml:space="preserve">is </w:t>
      </w:r>
      <w:r>
        <w:t>affect</w:t>
      </w:r>
      <w:r w:rsidR="00B2763C">
        <w:t>ed</w:t>
      </w:r>
      <w:r>
        <w:t xml:space="preserve">. </w:t>
      </w:r>
    </w:p>
    <w:p w:rsidR="000A647A" w:rsidRDefault="000A647A" w:rsidP="000A647A">
      <w:r>
        <w:lastRenderedPageBreak/>
        <w:t>The data</w:t>
      </w:r>
      <w:r w:rsidR="00E93CA8">
        <w:t>, indicators</w:t>
      </w:r>
      <w:r>
        <w:t xml:space="preserve"> and territorial evidence provided by ESPON provides insight on both the main structures and larger territorial trends. The fine art is to identify what can actually be influenced by policy-making and, in particular, by </w:t>
      </w:r>
      <w:r w:rsidR="00E57FE0">
        <w:t xml:space="preserve">place-based policy and </w:t>
      </w:r>
      <w:r>
        <w:t>territorial cooperation</w:t>
      </w:r>
      <w:r w:rsidR="00E93CA8">
        <w:t xml:space="preserve"> related to your programme area</w:t>
      </w:r>
      <w:r>
        <w:t xml:space="preserve">. </w:t>
      </w:r>
    </w:p>
    <w:p w:rsidR="00931A61" w:rsidRDefault="000A647A" w:rsidP="008A68FF">
      <w:pPr>
        <w:spacing w:after="240"/>
        <w:rPr>
          <w:lang w:val="en-US"/>
        </w:rPr>
      </w:pPr>
      <w:r>
        <w:rPr>
          <w:lang w:val="en-US"/>
        </w:rPr>
        <w:t>This chapter provides a selecti</w:t>
      </w:r>
      <w:r w:rsidR="00A433AA">
        <w:rPr>
          <w:lang w:val="en-US"/>
        </w:rPr>
        <w:t xml:space="preserve">on of ESPON data related to Europe 2020 objectives of smart, sustainable and inclusive growth, giving also hints as regards </w:t>
      </w:r>
      <w:r>
        <w:rPr>
          <w:lang w:val="en-US"/>
        </w:rPr>
        <w:t xml:space="preserve">the main thematic objectives envisaged in the draft regulations for the next period of EU Cohesion Policy. </w:t>
      </w:r>
      <w:r w:rsidR="00BA651D" w:rsidRPr="00BA651D">
        <w:t xml:space="preserve">The Europe 2020 Strategy aims to enhance smart, sustainable and inclusive growth. </w:t>
      </w:r>
      <w:r w:rsidR="00E57FE0">
        <w:t xml:space="preserve">This </w:t>
      </w:r>
      <w:r w:rsidR="006D18CA">
        <w:t xml:space="preserve">strategy </w:t>
      </w:r>
      <w:r w:rsidR="00E57FE0">
        <w:t>ha</w:t>
      </w:r>
      <w:r w:rsidR="006D18CA">
        <w:t>s</w:t>
      </w:r>
      <w:r w:rsidR="00E57FE0">
        <w:t xml:space="preserve"> clear territorial dimension</w:t>
      </w:r>
      <w:r w:rsidR="006D18CA">
        <w:t>s</w:t>
      </w:r>
      <w:r w:rsidR="00E57FE0">
        <w:t xml:space="preserve">. </w:t>
      </w:r>
      <w:r w:rsidR="00BA651D" w:rsidRPr="00BA651D">
        <w:t>However, achieving these goals is challenging in the crisis-driven times.</w:t>
      </w:r>
      <w:r w:rsidR="00BA651D" w:rsidRPr="00BA651D">
        <w:rPr>
          <w:lang w:val="en-US"/>
        </w:rPr>
        <w:t xml:space="preserve"> Furthermore, the economic disparities are growing as economic trends and the crisis have various impacts on different parts of Europe. </w:t>
      </w:r>
    </w:p>
    <w:p w:rsidR="00D1032D" w:rsidRDefault="00D1032D" w:rsidP="00D1032D">
      <w:r>
        <w:t>In the following the traffic light for each indicator represents how your programme territory compares to wider European and national medians where green = your programme area performs better for that indicator, yel</w:t>
      </w:r>
      <w:r w:rsidR="0075348C">
        <w:t>low = similar, and red = worse.</w:t>
      </w:r>
    </w:p>
    <w:p w:rsidR="005634D0" w:rsidRDefault="005634D0" w:rsidP="005634D0">
      <w:r>
        <w:t>In creating the traffic</w:t>
      </w:r>
      <w:r w:rsidR="00D57F45">
        <w:t xml:space="preserve"> </w:t>
      </w:r>
      <w:r>
        <w:t>lights the median was used as central value indicator for all statistical variables due to its advantages (easy to interpret, it splits the statistical distribution in half) but especially due to the constraints linked to the impossibility of computing means for several indicators (Climate Change, Wind Energy Potential etc.). Therefore, a special attention should be given in reading the median values when the number of NUTS 2 regions is below 7. Using percentiles implies also a high dependence of the final results on the type of statistical distribution. This fact should be considered when establishing the relative position of a CBC Programme Area to a specific country.</w:t>
      </w:r>
    </w:p>
    <w:p w:rsidR="007A3597" w:rsidRPr="00973E76" w:rsidRDefault="007A3597" w:rsidP="007A3597">
      <w:pPr>
        <w:spacing w:after="240"/>
        <w:rPr>
          <w:lang w:val="en-US"/>
        </w:rPr>
      </w:pPr>
      <w:r>
        <w:t>EU 27+4 in Traffic Lights and box-plots means</w:t>
      </w:r>
      <w:r w:rsidRPr="00021CAB">
        <w:t xml:space="preserve"> the EU Member States a</w:t>
      </w:r>
      <w:r>
        <w:t>s well as</w:t>
      </w:r>
      <w:r w:rsidRPr="00021CAB">
        <w:t xml:space="preserve"> Iceland, Li</w:t>
      </w:r>
      <w:r w:rsidR="004E6E25">
        <w:t>e</w:t>
      </w:r>
      <w:r w:rsidRPr="00021CAB">
        <w:t xml:space="preserve">chtenstein, Norway and Switzerland – the </w:t>
      </w:r>
      <w:r>
        <w:t>ESPON space</w:t>
      </w:r>
      <w:r w:rsidRPr="00973E76">
        <w:rPr>
          <w:lang w:val="en-US"/>
        </w:rPr>
        <w:t>.</w:t>
      </w:r>
    </w:p>
    <w:p w:rsidR="00337872" w:rsidRDefault="00337872" w:rsidP="00337872">
      <w:pPr>
        <w:pStyle w:val="Heading3"/>
      </w:pPr>
      <w:r w:rsidRPr="0044062C">
        <w:t>Smart growth</w:t>
      </w:r>
      <w:r w:rsidRPr="00337872">
        <w:t xml:space="preserve"> </w:t>
      </w:r>
    </w:p>
    <w:p w:rsidR="00337872" w:rsidRDefault="00872B36" w:rsidP="00C33A99">
      <w:r>
        <w:rPr>
          <w:noProof/>
          <w:lang w:val="en-US"/>
        </w:rPr>
        <w:drawing>
          <wp:anchor distT="0" distB="0" distL="114300" distR="114300" simplePos="0" relativeHeight="251671040" behindDoc="1" locked="0" layoutInCell="1" allowOverlap="1">
            <wp:simplePos x="0" y="0"/>
            <wp:positionH relativeFrom="column">
              <wp:posOffset>-43815</wp:posOffset>
            </wp:positionH>
            <wp:positionV relativeFrom="paragraph">
              <wp:posOffset>584835</wp:posOffset>
            </wp:positionV>
            <wp:extent cx="5264785" cy="2689225"/>
            <wp:effectExtent l="19050" t="0" r="0" b="0"/>
            <wp:wrapTight wrapText="bothSides">
              <wp:wrapPolygon edited="0">
                <wp:start x="-78" y="0"/>
                <wp:lineTo x="-78" y="21421"/>
                <wp:lineTo x="21571" y="21421"/>
                <wp:lineTo x="21571" y="0"/>
                <wp:lineTo x="-78" y="0"/>
              </wp:wrapPolygon>
            </wp:wrapTight>
            <wp:docPr id="5" name="Bild 1" descr="P:\LU_2011_ESPON_TerrEvi_100269\03_Project development\WorkinProgress_FactSheets\Factsheets_CBC_neu\TL_CBC3\Czech Rep.-Germany (Bavari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U_2011_ESPON_TerrEvi_100269\03_Project development\WorkinProgress_FactSheets\Factsheets_CBC_neu\TL_CBC3\Czech Rep.-Germany (Bavaria) 1.png"/>
                    <pic:cNvPicPr>
                      <a:picLocks noChangeAspect="1" noChangeArrowheads="1"/>
                    </pic:cNvPicPr>
                  </pic:nvPicPr>
                  <pic:blipFill>
                    <a:blip r:embed="rId15" cstate="print"/>
                    <a:srcRect/>
                    <a:stretch>
                      <a:fillRect/>
                    </a:stretch>
                  </pic:blipFill>
                  <pic:spPr bwMode="auto">
                    <a:xfrm>
                      <a:off x="0" y="0"/>
                      <a:ext cx="5264785" cy="2689225"/>
                    </a:xfrm>
                    <a:prstGeom prst="rect">
                      <a:avLst/>
                    </a:prstGeom>
                    <a:noFill/>
                    <a:ln w="9525">
                      <a:noFill/>
                      <a:miter lim="800000"/>
                      <a:headEnd/>
                      <a:tailEnd/>
                    </a:ln>
                  </pic:spPr>
                </pic:pic>
              </a:graphicData>
            </a:graphic>
          </wp:anchor>
        </w:drawing>
      </w:r>
      <w:r w:rsidR="000D7CC4">
        <w:t xml:space="preserve">Smart growth refers to </w:t>
      </w:r>
      <w:r w:rsidR="000D7CC4" w:rsidRPr="000D7CC4">
        <w:t>developing an economy based on knowledge and innovation.</w:t>
      </w:r>
      <w:r w:rsidR="000D7CC4">
        <w:t xml:space="preserve"> In the framework of the Europe 2020 Strategy it </w:t>
      </w:r>
      <w:r w:rsidR="002B1929" w:rsidRPr="002B1929">
        <w:t>means im</w:t>
      </w:r>
      <w:r w:rsidR="002B1929">
        <w:t xml:space="preserve">proving the EU's performance in </w:t>
      </w:r>
      <w:r w:rsidR="002B1929" w:rsidRPr="002B1929">
        <w:t>education</w:t>
      </w:r>
      <w:r w:rsidR="002B1929">
        <w:t xml:space="preserve">, </w:t>
      </w:r>
      <w:r w:rsidR="002B1929" w:rsidRPr="002B1929">
        <w:t>research/innovation</w:t>
      </w:r>
      <w:r w:rsidR="002B1929">
        <w:t xml:space="preserve"> and </w:t>
      </w:r>
      <w:r w:rsidR="002B1929" w:rsidRPr="002B1929">
        <w:t>digital society</w:t>
      </w:r>
      <w:r w:rsidR="002B1929">
        <w:t>.</w:t>
      </w:r>
    </w:p>
    <w:p w:rsidR="005A5FC4" w:rsidRDefault="005A5FC4" w:rsidP="00C33A99"/>
    <w:p w:rsidR="0044062C" w:rsidRPr="00B92990" w:rsidRDefault="0044062C" w:rsidP="0044062C">
      <w:pPr>
        <w:spacing w:before="120"/>
      </w:pPr>
      <w:r w:rsidRPr="00B92990">
        <w:t xml:space="preserve">According to </w:t>
      </w:r>
      <w:r>
        <w:t xml:space="preserve">some </w:t>
      </w:r>
      <w:r w:rsidRPr="00B92990">
        <w:t xml:space="preserve">indicators reported above, the </w:t>
      </w:r>
      <w:r w:rsidRPr="00C02617">
        <w:t>Germany (Bavaria) – Czech Republic</w:t>
      </w:r>
      <w:r>
        <w:t xml:space="preserve"> </w:t>
      </w:r>
      <w:r w:rsidRPr="00B92990">
        <w:t xml:space="preserve">CBC area </w:t>
      </w:r>
      <w:r w:rsidRPr="00A2709D">
        <w:t>performs</w:t>
      </w:r>
      <w:r>
        <w:t xml:space="preserve"> variously</w:t>
      </w:r>
      <w:r w:rsidRPr="00B92990">
        <w:t>. Considering the ob</w:t>
      </w:r>
      <w:r>
        <w:t>jective of R&amp;D expenditure as a percentage</w:t>
      </w:r>
      <w:r w:rsidRPr="00B92990">
        <w:t xml:space="preserve"> of the GDP - one of the five headline targets in the Europe 2020 Strategy - the CBC </w:t>
      </w:r>
      <w:r w:rsidRPr="00EE44DA">
        <w:t xml:space="preserve">area is in a </w:t>
      </w:r>
      <w:r>
        <w:t xml:space="preserve">below the EU27+4 space, </w:t>
      </w:r>
      <w:r w:rsidRPr="00EE44DA">
        <w:t xml:space="preserve">all CBC </w:t>
      </w:r>
      <w:r w:rsidRPr="00EE44DA">
        <w:lastRenderedPageBreak/>
        <w:t>areas</w:t>
      </w:r>
      <w:r>
        <w:t>, and below both Germany and Czech Republic</w:t>
      </w:r>
      <w:r w:rsidRPr="00EE44DA">
        <w:t>. Moreover,</w:t>
      </w:r>
      <w:r>
        <w:t xml:space="preserve"> </w:t>
      </w:r>
      <w:r w:rsidRPr="00B92990">
        <w:t xml:space="preserve">the </w:t>
      </w:r>
      <w:r w:rsidRPr="00C02617">
        <w:t>Germany (Bavaria) – Czech Republic</w:t>
      </w:r>
      <w:r>
        <w:t xml:space="preserve"> </w:t>
      </w:r>
      <w:r w:rsidRPr="00B92990">
        <w:t>CBC area</w:t>
      </w:r>
      <w:r w:rsidRPr="00EE44DA">
        <w:t xml:space="preserve"> is characterized by a </w:t>
      </w:r>
      <w:r>
        <w:t>high level of internal disparity</w:t>
      </w:r>
      <w:r w:rsidRPr="00EE44DA">
        <w:t>.</w:t>
      </w:r>
    </w:p>
    <w:p w:rsidR="0044062C" w:rsidRDefault="0044062C" w:rsidP="0044062C">
      <w:r w:rsidRPr="00EE44DA">
        <w:t>Concerning the ratio of employment in knowledge-intensive service to the total employment in 2010, the CBC area has lower values than both EU27+4 space and all CBCs; slightly higher than Czech Republic. The distribution inside the CBC results in a low level of internal disparity.</w:t>
      </w:r>
      <w:r w:rsidRPr="00B92990">
        <w:t xml:space="preserve"> </w:t>
      </w:r>
    </w:p>
    <w:p w:rsidR="0044062C" w:rsidRPr="00B92990" w:rsidRDefault="0044062C" w:rsidP="0044062C">
      <w:r w:rsidRPr="008913FB">
        <w:t xml:space="preserve">In terms of the percentage of individuals regularly using internet in 2011, the CBC has the </w:t>
      </w:r>
      <w:r>
        <w:t>higher values than</w:t>
      </w:r>
      <w:r w:rsidRPr="008913FB">
        <w:t xml:space="preserve"> both EU27+4 space and all CBCs</w:t>
      </w:r>
      <w:r>
        <w:t>.</w:t>
      </w:r>
      <w:r w:rsidRPr="008913FB">
        <w:t xml:space="preserve"> </w:t>
      </w:r>
      <w:r>
        <w:t>I</w:t>
      </w:r>
      <w:r w:rsidRPr="008913FB">
        <w:t>t</w:t>
      </w:r>
      <w:r>
        <w:t xml:space="preserve"> also </w:t>
      </w:r>
      <w:r w:rsidRPr="008913FB">
        <w:t xml:space="preserve">performs better than Czech Republic </w:t>
      </w:r>
      <w:r>
        <w:t>and</w:t>
      </w:r>
      <w:r w:rsidRPr="008913FB">
        <w:t xml:space="preserve"> German</w:t>
      </w:r>
      <w:r>
        <w:t>y</w:t>
      </w:r>
      <w:r w:rsidRPr="008913FB">
        <w:t xml:space="preserve">, with a </w:t>
      </w:r>
      <w:r>
        <w:t>medium level</w:t>
      </w:r>
      <w:r w:rsidRPr="00B92990">
        <w:t xml:space="preserve"> internal disparity.</w:t>
      </w:r>
    </w:p>
    <w:p w:rsidR="00CF4C50" w:rsidRPr="00B92990" w:rsidRDefault="00CF4C50" w:rsidP="00CF4C50">
      <w:r>
        <w:t>According to</w:t>
      </w:r>
      <w:r w:rsidRPr="00B92990">
        <w:t xml:space="preserve"> the </w:t>
      </w:r>
      <w:r>
        <w:t>classification o</w:t>
      </w:r>
      <w:r w:rsidRPr="00B92990">
        <w:t xml:space="preserve">f the KIT project, </w:t>
      </w:r>
      <w:r>
        <w:t>MAP 1</w:t>
      </w:r>
      <w:r w:rsidRPr="00B92990">
        <w:t xml:space="preserve"> identifies </w:t>
      </w:r>
      <w:r>
        <w:t>a varied territorial pattern</w:t>
      </w:r>
      <w:r w:rsidRPr="00B92990">
        <w:t xml:space="preserve"> of innovation</w:t>
      </w:r>
      <w:r>
        <w:t>:</w:t>
      </w:r>
      <w:r w:rsidRPr="00B92990">
        <w:t xml:space="preserve"> </w:t>
      </w:r>
    </w:p>
    <w:p w:rsidR="00CF4C50" w:rsidRPr="00CE5FAC" w:rsidRDefault="00CF4C50" w:rsidP="00CF4C50">
      <w:pPr>
        <w:pStyle w:val="ListParagraph"/>
        <w:numPr>
          <w:ilvl w:val="0"/>
          <w:numId w:val="14"/>
        </w:numPr>
        <w:autoSpaceDE w:val="0"/>
        <w:autoSpaceDN w:val="0"/>
        <w:adjustRightInd w:val="0"/>
        <w:spacing w:after="0" w:line="240" w:lineRule="auto"/>
        <w:rPr>
          <w:rFonts w:cstheme="minorHAnsi"/>
          <w:szCs w:val="20"/>
        </w:rPr>
      </w:pPr>
      <w:r w:rsidRPr="00AD2C00">
        <w:rPr>
          <w:rFonts w:cstheme="minorHAnsi"/>
          <w:szCs w:val="20"/>
        </w:rPr>
        <w:t>‘</w:t>
      </w:r>
      <w:r>
        <w:rPr>
          <w:rFonts w:cstheme="minorHAnsi"/>
          <w:szCs w:val="20"/>
        </w:rPr>
        <w:t xml:space="preserve">European science-based area’, </w:t>
      </w:r>
      <w:r w:rsidRPr="007837D2">
        <w:rPr>
          <w:rFonts w:cstheme="minorHAnsi"/>
          <w:szCs w:val="20"/>
        </w:rPr>
        <w:t xml:space="preserve">in the </w:t>
      </w:r>
      <w:r>
        <w:rPr>
          <w:rFonts w:cstheme="minorHAnsi"/>
          <w:szCs w:val="20"/>
        </w:rPr>
        <w:t xml:space="preserve">northern German part, as the regions of </w:t>
      </w:r>
      <w:r w:rsidRPr="00017483">
        <w:rPr>
          <w:rFonts w:cstheme="minorHAnsi"/>
          <w:szCs w:val="20"/>
        </w:rPr>
        <w:t>Hof</w:t>
      </w:r>
      <w:r>
        <w:rPr>
          <w:rFonts w:cstheme="minorHAnsi"/>
          <w:szCs w:val="20"/>
        </w:rPr>
        <w:t xml:space="preserve"> and</w:t>
      </w:r>
      <w:r w:rsidRPr="00017483">
        <w:rPr>
          <w:rFonts w:cstheme="minorHAnsi"/>
          <w:szCs w:val="20"/>
        </w:rPr>
        <w:t xml:space="preserve"> Wunsiedel</w:t>
      </w:r>
      <w:r w:rsidRPr="007837D2">
        <w:rPr>
          <w:rFonts w:cstheme="minorHAnsi"/>
          <w:szCs w:val="20"/>
        </w:rPr>
        <w:t>. It is characterised by strong knowledge and innovation, specialized in general purpose technologies, with a high generality and originality of science-based local knowledge</w:t>
      </w:r>
      <w:r>
        <w:rPr>
          <w:rFonts w:cstheme="minorHAnsi"/>
          <w:szCs w:val="20"/>
        </w:rPr>
        <w:t>.</w:t>
      </w:r>
      <w:r w:rsidRPr="007837D2">
        <w:rPr>
          <w:rFonts w:cstheme="minorHAnsi"/>
          <w:szCs w:val="20"/>
        </w:rPr>
        <w:t xml:space="preserve"> </w:t>
      </w:r>
    </w:p>
    <w:p w:rsidR="00CF4C50" w:rsidRDefault="00CF4C50" w:rsidP="00CF4C50">
      <w:pPr>
        <w:pStyle w:val="ListParagraph"/>
        <w:numPr>
          <w:ilvl w:val="0"/>
          <w:numId w:val="14"/>
        </w:numPr>
        <w:spacing w:line="240" w:lineRule="atLeast"/>
        <w:rPr>
          <w:szCs w:val="20"/>
        </w:rPr>
      </w:pPr>
      <w:r>
        <w:rPr>
          <w:rFonts w:cstheme="minorHAnsi"/>
          <w:szCs w:val="20"/>
        </w:rPr>
        <w:t>‘</w:t>
      </w:r>
      <w:r w:rsidRPr="00AD2C00">
        <w:rPr>
          <w:rFonts w:cstheme="minorHAnsi"/>
          <w:szCs w:val="20"/>
        </w:rPr>
        <w:t xml:space="preserve">Applied science area’, in the </w:t>
      </w:r>
      <w:r>
        <w:rPr>
          <w:rFonts w:cstheme="minorHAnsi"/>
          <w:szCs w:val="20"/>
        </w:rPr>
        <w:t>southern German</w:t>
      </w:r>
      <w:r w:rsidRPr="00AD2C00">
        <w:rPr>
          <w:rFonts w:cstheme="minorHAnsi"/>
          <w:szCs w:val="20"/>
        </w:rPr>
        <w:t xml:space="preserve"> part</w:t>
      </w:r>
      <w:r>
        <w:rPr>
          <w:rFonts w:cstheme="minorHAnsi"/>
          <w:szCs w:val="20"/>
        </w:rPr>
        <w:t>, i.e. the regions of G</w:t>
      </w:r>
      <w:r w:rsidRPr="00017483">
        <w:rPr>
          <w:rFonts w:cstheme="minorHAnsi"/>
          <w:szCs w:val="20"/>
        </w:rPr>
        <w:t>rafenau,</w:t>
      </w:r>
      <w:r>
        <w:rPr>
          <w:rFonts w:cstheme="minorHAnsi"/>
          <w:szCs w:val="20"/>
        </w:rPr>
        <w:t xml:space="preserve"> Cham and</w:t>
      </w:r>
      <w:r w:rsidRPr="00017483">
        <w:rPr>
          <w:rFonts w:cstheme="minorHAnsi"/>
          <w:szCs w:val="20"/>
        </w:rPr>
        <w:t xml:space="preserve"> Regen</w:t>
      </w:r>
      <w:r w:rsidRPr="00AD2C00">
        <w:rPr>
          <w:rFonts w:cstheme="minorHAnsi"/>
          <w:szCs w:val="20"/>
        </w:rPr>
        <w:t xml:space="preserve">. It is associated to </w:t>
      </w:r>
      <w:r w:rsidRPr="00AD2C00">
        <w:rPr>
          <w:szCs w:val="20"/>
        </w:rPr>
        <w:t>a quite high generality and originality of science-based local knowledge, and a high degree of attractiveness of knowledge coming from other regions.</w:t>
      </w:r>
    </w:p>
    <w:p w:rsidR="00CF4C50" w:rsidRPr="0044062C" w:rsidRDefault="00CF4C50" w:rsidP="00CF4C50">
      <w:pPr>
        <w:pStyle w:val="ListParagraph"/>
        <w:numPr>
          <w:ilvl w:val="0"/>
          <w:numId w:val="14"/>
        </w:numPr>
        <w:spacing w:line="240" w:lineRule="atLeast"/>
        <w:rPr>
          <w:szCs w:val="20"/>
        </w:rPr>
      </w:pPr>
      <w:r w:rsidRPr="0044062C">
        <w:rPr>
          <w:rFonts w:cstheme="minorHAnsi"/>
          <w:szCs w:val="20"/>
        </w:rPr>
        <w:t>‘Smart technological application area’, in the Czech side</w:t>
      </w:r>
      <w:r>
        <w:rPr>
          <w:rFonts w:cstheme="minorHAnsi"/>
          <w:szCs w:val="20"/>
        </w:rPr>
        <w:t>, i.e. the regions of</w:t>
      </w:r>
      <w:r w:rsidRPr="00017483">
        <w:rPr>
          <w:rFonts w:cs="Arial"/>
          <w:color w:val="003399"/>
        </w:rPr>
        <w:t xml:space="preserve"> </w:t>
      </w:r>
      <w:r w:rsidRPr="00017483">
        <w:rPr>
          <w:rFonts w:cs="Arial"/>
          <w:color w:val="000000" w:themeColor="text1"/>
        </w:rPr>
        <w:t>Plzeňský kraj, Karlovarský kraj and Jihočeský kraj</w:t>
      </w:r>
      <w:r w:rsidRPr="00017483">
        <w:rPr>
          <w:rFonts w:cstheme="minorHAnsi"/>
          <w:color w:val="000000" w:themeColor="text1"/>
          <w:szCs w:val="20"/>
        </w:rPr>
        <w:t>. It is defined by a high</w:t>
      </w:r>
      <w:r w:rsidRPr="0044062C">
        <w:rPr>
          <w:rFonts w:cstheme="minorHAnsi"/>
          <w:szCs w:val="20"/>
        </w:rPr>
        <w:t xml:space="preserve"> product innovation level, with a limited degree of local applied science and R&amp;D endowment, and a high creativity which allows translating external basic science and applied science knowledge into innovation.</w:t>
      </w:r>
    </w:p>
    <w:p w:rsidR="005A5FC4" w:rsidRDefault="005A5FC4" w:rsidP="00C33A99"/>
    <w:p w:rsidR="005A5FC4" w:rsidRDefault="005A5FC4">
      <w:pPr>
        <w:spacing w:after="0" w:line="240" w:lineRule="auto"/>
        <w:jc w:val="left"/>
      </w:pPr>
      <w:r>
        <w:br w:type="page"/>
      </w:r>
    </w:p>
    <w:p w:rsidR="00A06AEA" w:rsidRPr="004C764D" w:rsidRDefault="00337872" w:rsidP="00A06AEA">
      <w:pPr>
        <w:rPr>
          <w:b/>
          <w:lang w:val="en-US"/>
        </w:rPr>
      </w:pPr>
      <w:r w:rsidRPr="004E39BD">
        <w:rPr>
          <w:b/>
        </w:rPr>
        <w:lastRenderedPageBreak/>
        <w:t>MAP</w:t>
      </w:r>
      <w:r w:rsidR="00016B50">
        <w:rPr>
          <w:b/>
        </w:rPr>
        <w:t xml:space="preserve"> 1</w:t>
      </w:r>
      <w:r w:rsidRPr="004E39BD">
        <w:rPr>
          <w:b/>
        </w:rPr>
        <w:t xml:space="preserve"> </w:t>
      </w:r>
      <w:r w:rsidR="004E39BD" w:rsidRPr="004E39BD">
        <w:rPr>
          <w:b/>
        </w:rPr>
        <w:t>– Territorial Patterns of Innovation (ESPON KIT project)</w:t>
      </w:r>
      <w:r w:rsidR="002371D8">
        <w:rPr>
          <w:b/>
        </w:rPr>
        <w:t xml:space="preserve"> for the CBC </w:t>
      </w:r>
      <w:r w:rsidR="0003499E">
        <w:rPr>
          <w:b/>
        </w:rPr>
        <w:t>Bavaria – Czech Republic</w:t>
      </w:r>
    </w:p>
    <w:p w:rsidR="008A3B96" w:rsidRDefault="008A3B96" w:rsidP="008A3B96"/>
    <w:p w:rsidR="008A3B96" w:rsidRDefault="002B6507" w:rsidP="008A3B96">
      <w:pPr>
        <w:spacing w:after="0" w:line="240" w:lineRule="auto"/>
      </w:pPr>
      <w:r w:rsidRPr="002B6507">
        <w:rPr>
          <w:noProof/>
          <w:lang w:val="de-DE" w:eastAsia="de-DE"/>
        </w:rPr>
        <w:pict>
          <v:oval id="_x0000_s1029" style="position:absolute;left:0;text-align:left;margin-left:185.95pt;margin-top:229.5pt;width:42.4pt;height:24.35pt;rotation:2116376fd;z-index:251662848" filled="f" strokecolor="#0070c0" strokeweight="2pt"/>
        </w:pict>
      </w:r>
      <w:r w:rsidR="008F3F1F">
        <w:rPr>
          <w:noProof/>
          <w:lang w:val="en-US"/>
        </w:rPr>
        <w:drawing>
          <wp:inline distT="0" distB="0" distL="0" distR="0">
            <wp:extent cx="5278755" cy="6281524"/>
            <wp:effectExtent l="19050" t="0" r="0" b="0"/>
            <wp:docPr id="10" name="Bild 1" descr="P:\LU_2011_ESPON_TerrEvi_100269\03_Project development\WorkinProgress_FactSheets\Factsheets_CBC_neu\MAP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U_2011_ESPON_TerrEvi_100269\03_Project development\WorkinProgress_FactSheets\Factsheets_CBC_neu\MAP1.png"/>
                    <pic:cNvPicPr>
                      <a:picLocks noChangeAspect="1" noChangeArrowheads="1"/>
                    </pic:cNvPicPr>
                  </pic:nvPicPr>
                  <pic:blipFill>
                    <a:blip r:embed="rId16" cstate="print"/>
                    <a:srcRect/>
                    <a:stretch>
                      <a:fillRect/>
                    </a:stretch>
                  </pic:blipFill>
                  <pic:spPr bwMode="auto">
                    <a:xfrm>
                      <a:off x="0" y="0"/>
                      <a:ext cx="5278755" cy="6281524"/>
                    </a:xfrm>
                    <a:prstGeom prst="rect">
                      <a:avLst/>
                    </a:prstGeom>
                    <a:noFill/>
                    <a:ln w="9525">
                      <a:noFill/>
                      <a:miter lim="800000"/>
                      <a:headEnd/>
                      <a:tailEnd/>
                    </a:ln>
                  </pic:spPr>
                </pic:pic>
              </a:graphicData>
            </a:graphic>
          </wp:inline>
        </w:drawing>
      </w:r>
    </w:p>
    <w:p w:rsidR="008A3B96" w:rsidRDefault="008A3B96" w:rsidP="008A3B96"/>
    <w:p w:rsidR="004F26B8" w:rsidRDefault="004F26B8">
      <w:pPr>
        <w:spacing w:after="0" w:line="240" w:lineRule="auto"/>
        <w:jc w:val="left"/>
      </w:pPr>
      <w:r>
        <w:br w:type="page"/>
      </w:r>
    </w:p>
    <w:p w:rsidR="004F26B8" w:rsidRDefault="004F26B8" w:rsidP="004F26B8">
      <w:pPr>
        <w:pStyle w:val="Heading3"/>
      </w:pPr>
      <w:r w:rsidRPr="0044062C">
        <w:lastRenderedPageBreak/>
        <w:t>Sustainable growth</w:t>
      </w:r>
      <w:r w:rsidRPr="00337872">
        <w:t xml:space="preserve"> </w:t>
      </w:r>
    </w:p>
    <w:p w:rsidR="004F26B8" w:rsidRDefault="00872B36" w:rsidP="00C00C96">
      <w:r>
        <w:rPr>
          <w:noProof/>
          <w:lang w:val="en-US"/>
        </w:rPr>
        <w:drawing>
          <wp:anchor distT="0" distB="0" distL="114300" distR="114300" simplePos="0" relativeHeight="251672064" behindDoc="1" locked="0" layoutInCell="1" allowOverlap="1">
            <wp:simplePos x="0" y="0"/>
            <wp:positionH relativeFrom="column">
              <wp:posOffset>17780</wp:posOffset>
            </wp:positionH>
            <wp:positionV relativeFrom="paragraph">
              <wp:posOffset>1279525</wp:posOffset>
            </wp:positionV>
            <wp:extent cx="5267960" cy="2990215"/>
            <wp:effectExtent l="19050" t="0" r="8890" b="0"/>
            <wp:wrapTight wrapText="bothSides">
              <wp:wrapPolygon edited="0">
                <wp:start x="-78" y="0"/>
                <wp:lineTo x="-78" y="21467"/>
                <wp:lineTo x="21636" y="21467"/>
                <wp:lineTo x="21636" y="0"/>
                <wp:lineTo x="-78" y="0"/>
              </wp:wrapPolygon>
            </wp:wrapTight>
            <wp:docPr id="8" name="Bild 2" descr="P:\LU_2011_ESPON_TerrEvi_100269\03_Project development\WorkinProgress_FactSheets\Factsheets_CBC_neu\TL_CBC3\Czech Rep.-Germany (Bavaria) 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LU_2011_ESPON_TerrEvi_100269\03_Project development\WorkinProgress_FactSheets\Factsheets_CBC_neu\TL_CBC3\Czech Rep.-Germany (Bavaria) 2.png"/>
                    <pic:cNvPicPr>
                      <a:picLocks noChangeAspect="1" noChangeArrowheads="1"/>
                    </pic:cNvPicPr>
                  </pic:nvPicPr>
                  <pic:blipFill>
                    <a:blip r:embed="rId17" cstate="print"/>
                    <a:srcRect/>
                    <a:stretch>
                      <a:fillRect/>
                    </a:stretch>
                  </pic:blipFill>
                  <pic:spPr bwMode="auto">
                    <a:xfrm>
                      <a:off x="0" y="0"/>
                      <a:ext cx="5267960" cy="2990215"/>
                    </a:xfrm>
                    <a:prstGeom prst="rect">
                      <a:avLst/>
                    </a:prstGeom>
                    <a:noFill/>
                    <a:ln w="9525">
                      <a:noFill/>
                      <a:miter lim="800000"/>
                      <a:headEnd/>
                      <a:tailEnd/>
                    </a:ln>
                  </pic:spPr>
                </pic:pic>
              </a:graphicData>
            </a:graphic>
          </wp:anchor>
        </w:drawing>
      </w:r>
      <w:r w:rsidR="004F26B8">
        <w:t>Sustainable growth</w:t>
      </w:r>
      <w:r w:rsidR="00C00C96">
        <w:t xml:space="preserve"> refers to </w:t>
      </w:r>
      <w:r w:rsidR="00C00C96" w:rsidRPr="00C00C96">
        <w:t>promoting a more resource efficient, greener and more competitive economy.</w:t>
      </w:r>
      <w:r w:rsidR="00C00C96">
        <w:t xml:space="preserve"> Within the Europe 2020 Strategy it means e.g. </w:t>
      </w:r>
      <w:r w:rsidR="00C00C96" w:rsidRPr="00C00C96">
        <w:t>building a more competitive low-carbon economy that makes efficient, sustainable use of resources, protecting the environment, reducing emissions and preventing biodiversity loss</w:t>
      </w:r>
      <w:r w:rsidR="00C00C96">
        <w:t xml:space="preserve">, </w:t>
      </w:r>
      <w:r w:rsidR="00C00C96" w:rsidRPr="00C00C96">
        <w:t>capitalising on Europe's leadership in developing new green technologies and production methods, and introducing efficient smart electricity grids</w:t>
      </w:r>
      <w:r w:rsidR="00C00C96">
        <w:t xml:space="preserve">. </w:t>
      </w:r>
      <w:r w:rsidR="00DE50C5">
        <w:t>In the framework of the Europe</w:t>
      </w:r>
      <w:r w:rsidR="00276DA6">
        <w:t xml:space="preserve"> 2020 Strategy it means </w:t>
      </w:r>
      <w:r w:rsidR="006D6890">
        <w:t>focus on competitiveness, resource efficiency, climate change and biodiversity</w:t>
      </w:r>
      <w:r w:rsidR="00276DA6">
        <w:t>.</w:t>
      </w:r>
    </w:p>
    <w:p w:rsidR="0044062C" w:rsidRDefault="0044062C" w:rsidP="0044062C">
      <w:pPr>
        <w:rPr>
          <w:szCs w:val="20"/>
        </w:rPr>
      </w:pPr>
      <w:r>
        <w:t xml:space="preserve">Wind energy potential of the Bavaria-Czech Republic CBC region shows similar median value to the regions of the EU-27+4 and the Czech Republic, whereas there is a slightly lower </w:t>
      </w:r>
      <w:r>
        <w:rPr>
          <w:noProof/>
          <w:lang w:val="en-US"/>
        </w:rPr>
        <w:t xml:space="preserve">potential with regard to the use of this sustainable resource compared to the level of all CBC areas and the national level of Germany. The </w:t>
      </w:r>
      <w:r>
        <w:t xml:space="preserve">CBC programme area performs well with regard to the level of ozone concentration, which is lower than the EU-27+4 and German levels and similar to the national level of the Czech Republic and the level of all CBC areas. </w:t>
      </w:r>
      <w:r>
        <w:rPr>
          <w:szCs w:val="20"/>
        </w:rPr>
        <w:t>T</w:t>
      </w:r>
      <w:r w:rsidRPr="00CC030D">
        <w:rPr>
          <w:szCs w:val="20"/>
        </w:rPr>
        <w:t xml:space="preserve">he CBC programme area </w:t>
      </w:r>
      <w:r>
        <w:rPr>
          <w:szCs w:val="20"/>
        </w:rPr>
        <w:t>is potentially significantly less vulnerable to climate change than the EU-27+4 and than all CBC areas, and stays less vulnerable when compared to national levels as well.</w:t>
      </w:r>
    </w:p>
    <w:p w:rsidR="005A5FC4" w:rsidRDefault="0044062C" w:rsidP="0044062C">
      <w:r>
        <w:rPr>
          <w:szCs w:val="20"/>
        </w:rPr>
        <w:t>Neither</w:t>
      </w:r>
      <w:r w:rsidRPr="0084080C">
        <w:rPr>
          <w:szCs w:val="20"/>
        </w:rPr>
        <w:t xml:space="preserve"> sides of the border in the CBC area are affected by territorial impact of Directive 11 on </w:t>
      </w:r>
      <w:r>
        <w:rPr>
          <w:szCs w:val="20"/>
        </w:rPr>
        <w:t xml:space="preserve">fossil fuel consumption (MAP 2). The </w:t>
      </w:r>
      <w:r w:rsidRPr="0084080C">
        <w:rPr>
          <w:szCs w:val="20"/>
        </w:rPr>
        <w:t xml:space="preserve">combined adaptive capacity to climate change </w:t>
      </w:r>
      <w:r>
        <w:rPr>
          <w:szCs w:val="20"/>
        </w:rPr>
        <w:t xml:space="preserve">of the NUTS3 border-regions </w:t>
      </w:r>
      <w:r w:rsidRPr="0084080C">
        <w:rPr>
          <w:szCs w:val="20"/>
        </w:rPr>
        <w:t xml:space="preserve">(BOX-PLOT 1) </w:t>
      </w:r>
      <w:r>
        <w:rPr>
          <w:szCs w:val="20"/>
        </w:rPr>
        <w:t xml:space="preserve">is in general similar to the </w:t>
      </w:r>
      <w:r w:rsidRPr="0084080C">
        <w:rPr>
          <w:szCs w:val="20"/>
        </w:rPr>
        <w:t>national levels</w:t>
      </w:r>
      <w:r>
        <w:rPr>
          <w:szCs w:val="20"/>
        </w:rPr>
        <w:t>. Most programme regions are in the upper-middle range when compared to the level of combined adaptive capacity of the EU-27+4 and all CBC regions</w:t>
      </w:r>
      <w:r w:rsidRPr="0084080C">
        <w:rPr>
          <w:szCs w:val="20"/>
        </w:rPr>
        <w:t xml:space="preserve">. On the </w:t>
      </w:r>
      <w:r>
        <w:rPr>
          <w:szCs w:val="20"/>
        </w:rPr>
        <w:t>Czech</w:t>
      </w:r>
      <w:r w:rsidRPr="0084080C">
        <w:rPr>
          <w:szCs w:val="20"/>
        </w:rPr>
        <w:t xml:space="preserve"> side the NUTS3 region of </w:t>
      </w:r>
      <w:r>
        <w:rPr>
          <w:szCs w:val="20"/>
        </w:rPr>
        <w:t>Karlovarsky kraj</w:t>
      </w:r>
      <w:r w:rsidRPr="0084080C">
        <w:rPr>
          <w:szCs w:val="20"/>
        </w:rPr>
        <w:t xml:space="preserve"> show</w:t>
      </w:r>
      <w:r>
        <w:rPr>
          <w:szCs w:val="20"/>
        </w:rPr>
        <w:t>s</w:t>
      </w:r>
      <w:r w:rsidRPr="0084080C">
        <w:rPr>
          <w:szCs w:val="20"/>
        </w:rPr>
        <w:t xml:space="preserve"> a very </w:t>
      </w:r>
      <w:r>
        <w:rPr>
          <w:szCs w:val="20"/>
        </w:rPr>
        <w:t>low</w:t>
      </w:r>
      <w:r w:rsidRPr="0084080C">
        <w:rPr>
          <w:szCs w:val="20"/>
        </w:rPr>
        <w:t xml:space="preserve"> capacity compared to the respective national values</w:t>
      </w:r>
      <w:r>
        <w:rPr>
          <w:szCs w:val="20"/>
        </w:rPr>
        <w:t xml:space="preserve"> and a low (but still in the middle-range) value compared to EU27+4 and to all CBC areas.</w:t>
      </w:r>
    </w:p>
    <w:p w:rsidR="005A5FC4" w:rsidRDefault="005A5FC4" w:rsidP="00C00C96"/>
    <w:p w:rsidR="005A5FC4" w:rsidRDefault="005A5FC4" w:rsidP="00C00C96"/>
    <w:p w:rsidR="00041A22" w:rsidRDefault="00041A22">
      <w:pPr>
        <w:spacing w:after="0" w:line="240" w:lineRule="auto"/>
        <w:jc w:val="left"/>
      </w:pPr>
      <w:r>
        <w:br w:type="page"/>
      </w:r>
    </w:p>
    <w:p w:rsidR="00A06AEA" w:rsidRPr="00C33A99" w:rsidRDefault="009F77A8" w:rsidP="00A06AEA">
      <w:pPr>
        <w:rPr>
          <w:b/>
        </w:rPr>
      </w:pPr>
      <w:r w:rsidRPr="00C33A99">
        <w:rPr>
          <w:b/>
        </w:rPr>
        <w:lastRenderedPageBreak/>
        <w:t>MAP</w:t>
      </w:r>
      <w:r w:rsidR="00016B50">
        <w:rPr>
          <w:b/>
        </w:rPr>
        <w:t xml:space="preserve"> 2</w:t>
      </w:r>
      <w:r w:rsidRPr="00C33A99">
        <w:rPr>
          <w:b/>
        </w:rPr>
        <w:t xml:space="preserve"> - Territorial impact on fossil fuel consumption of Directive on the promotion of clean and energy-efficient road transport vehicles (ESPON ARTS project)</w:t>
      </w:r>
      <w:r w:rsidR="002371D8">
        <w:rPr>
          <w:b/>
        </w:rPr>
        <w:t xml:space="preserve"> for the CBC </w:t>
      </w:r>
      <w:r w:rsidR="0003499E">
        <w:rPr>
          <w:b/>
        </w:rPr>
        <w:t>Bavaria – Czech Republic</w:t>
      </w:r>
    </w:p>
    <w:p w:rsidR="00D26713" w:rsidRDefault="00D26713" w:rsidP="00D26713">
      <w:pPr>
        <w:spacing w:after="0" w:line="240" w:lineRule="auto"/>
        <w:rPr>
          <w:noProof/>
          <w:lang w:eastAsia="en-GB"/>
        </w:rPr>
      </w:pPr>
    </w:p>
    <w:p w:rsidR="00D26713" w:rsidRDefault="002B6507" w:rsidP="00D26713">
      <w:pPr>
        <w:spacing w:after="0" w:line="240" w:lineRule="auto"/>
        <w:rPr>
          <w:noProof/>
          <w:lang w:eastAsia="en-GB"/>
        </w:rPr>
      </w:pPr>
      <w:r w:rsidRPr="002B6507">
        <w:rPr>
          <w:noProof/>
          <w:lang w:val="de-DE" w:eastAsia="de-DE"/>
        </w:rPr>
        <w:pict>
          <v:oval id="_x0000_s1030" style="position:absolute;left:0;text-align:left;margin-left:197.8pt;margin-top:201.35pt;width:42.4pt;height:24.35pt;rotation:2116376fd;z-index:251663872" filled="f" strokecolor="#0070c0" strokeweight="2pt"/>
        </w:pict>
      </w:r>
      <w:r w:rsidR="008F3F1F">
        <w:rPr>
          <w:noProof/>
          <w:lang w:val="en-US"/>
        </w:rPr>
        <w:drawing>
          <wp:inline distT="0" distB="0" distL="0" distR="0">
            <wp:extent cx="5278755" cy="5811506"/>
            <wp:effectExtent l="19050" t="0" r="0" b="0"/>
            <wp:docPr id="11" name="Bild 2" descr="P:\LU_2011_ESPON_TerrEvi_100269\03_Project development\WorkinProgress_FactSheets\Factsheets_CBC_neu\MAP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LU_2011_ESPON_TerrEvi_100269\03_Project development\WorkinProgress_FactSheets\Factsheets_CBC_neu\MAP2.jpg"/>
                    <pic:cNvPicPr>
                      <a:picLocks noChangeAspect="1" noChangeArrowheads="1"/>
                    </pic:cNvPicPr>
                  </pic:nvPicPr>
                  <pic:blipFill>
                    <a:blip r:embed="rId18" cstate="print"/>
                    <a:srcRect/>
                    <a:stretch>
                      <a:fillRect/>
                    </a:stretch>
                  </pic:blipFill>
                  <pic:spPr bwMode="auto">
                    <a:xfrm>
                      <a:off x="0" y="0"/>
                      <a:ext cx="5278755" cy="5811506"/>
                    </a:xfrm>
                    <a:prstGeom prst="rect">
                      <a:avLst/>
                    </a:prstGeom>
                    <a:noFill/>
                    <a:ln w="9525">
                      <a:noFill/>
                      <a:miter lim="800000"/>
                      <a:headEnd/>
                      <a:tailEnd/>
                    </a:ln>
                  </pic:spPr>
                </pic:pic>
              </a:graphicData>
            </a:graphic>
          </wp:inline>
        </w:drawing>
      </w:r>
    </w:p>
    <w:p w:rsidR="00D26713" w:rsidRDefault="00D26713" w:rsidP="00D26713"/>
    <w:p w:rsidR="00855241" w:rsidRDefault="00855241">
      <w:pPr>
        <w:spacing w:after="0" w:line="240" w:lineRule="auto"/>
        <w:jc w:val="left"/>
      </w:pPr>
      <w:r>
        <w:br w:type="page"/>
      </w:r>
    </w:p>
    <w:p w:rsidR="008570C2" w:rsidRDefault="008570C2" w:rsidP="008570C2">
      <w:pPr>
        <w:rPr>
          <w:b/>
        </w:rPr>
      </w:pPr>
      <w:r w:rsidRPr="00CA172D">
        <w:rPr>
          <w:b/>
        </w:rPr>
        <w:lastRenderedPageBreak/>
        <w:t xml:space="preserve">BOX-PLOT 1 – Combined adaptive capacity to climate change (ESPON CLIMATE project) for the CBC </w:t>
      </w:r>
      <w:r>
        <w:rPr>
          <w:b/>
        </w:rPr>
        <w:t>Bavaria – Czech Republic</w:t>
      </w:r>
    </w:p>
    <w:p w:rsidR="007A3597" w:rsidRPr="00021CAB" w:rsidRDefault="007A3597" w:rsidP="007A3597">
      <w:pPr>
        <w:spacing w:after="240"/>
        <w:rPr>
          <w:i/>
        </w:rPr>
      </w:pPr>
      <w:r>
        <w:rPr>
          <w:i/>
        </w:rPr>
        <w:t>“Adaptive capacity (adaptability)”</w:t>
      </w:r>
      <w:r w:rsidRPr="00021CAB">
        <w:rPr>
          <w:i/>
        </w:rPr>
        <w:t xml:space="preserve"> to climate change indicates the ability or potential of a system to respond successfully to climate change and variability, and includes adjustments in behavio</w:t>
      </w:r>
      <w:r>
        <w:rPr>
          <w:i/>
        </w:rPr>
        <w:t>u</w:t>
      </w:r>
      <w:r w:rsidRPr="00021CAB">
        <w:rPr>
          <w:i/>
        </w:rPr>
        <w:t>r, resources and technologies.</w:t>
      </w:r>
    </w:p>
    <w:p w:rsidR="008570C2" w:rsidRDefault="008570C2" w:rsidP="008570C2">
      <w:pPr>
        <w:spacing w:after="0" w:line="240" w:lineRule="auto"/>
        <w:rPr>
          <w:noProof/>
          <w:lang w:eastAsia="en-GB"/>
        </w:rPr>
      </w:pPr>
      <w:r>
        <w:rPr>
          <w:noProof/>
          <w:lang w:val="en-US"/>
        </w:rPr>
        <w:drawing>
          <wp:inline distT="0" distB="0" distL="0" distR="0">
            <wp:extent cx="5278755" cy="4004573"/>
            <wp:effectExtent l="19050" t="0" r="0" b="0"/>
            <wp:docPr id="2"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srcRect/>
                    <a:stretch>
                      <a:fillRect/>
                    </a:stretch>
                  </pic:blipFill>
                  <pic:spPr bwMode="auto">
                    <a:xfrm>
                      <a:off x="0" y="0"/>
                      <a:ext cx="5278755" cy="4004573"/>
                    </a:xfrm>
                    <a:prstGeom prst="rect">
                      <a:avLst/>
                    </a:prstGeom>
                    <a:noFill/>
                    <a:ln w="9525">
                      <a:noFill/>
                      <a:miter lim="800000"/>
                      <a:headEnd/>
                      <a:tailEnd/>
                    </a:ln>
                  </pic:spPr>
                </pic:pic>
              </a:graphicData>
            </a:graphic>
          </wp:inline>
        </w:drawing>
      </w:r>
    </w:p>
    <w:p w:rsidR="008570C2" w:rsidRPr="006F0BC4" w:rsidRDefault="008570C2" w:rsidP="008570C2">
      <w:pPr>
        <w:pStyle w:val="Heading3"/>
        <w:pBdr>
          <w:top w:val="single" w:sz="4" w:space="1" w:color="auto"/>
          <w:left w:val="single" w:sz="4" w:space="4" w:color="auto"/>
          <w:bottom w:val="single" w:sz="4" w:space="1" w:color="auto"/>
          <w:right w:val="single" w:sz="4" w:space="4" w:color="auto"/>
        </w:pBdr>
        <w:spacing w:before="480" w:after="120"/>
        <w:rPr>
          <w:i/>
        </w:rPr>
      </w:pPr>
      <w:r w:rsidRPr="006F0BC4">
        <w:rPr>
          <w:i/>
        </w:rPr>
        <w:t>How to read the box-plots?</w:t>
      </w:r>
    </w:p>
    <w:p w:rsidR="008570C2" w:rsidRPr="006F0BC4" w:rsidRDefault="008570C2" w:rsidP="008570C2">
      <w:pPr>
        <w:pBdr>
          <w:top w:val="single" w:sz="4" w:space="1" w:color="auto"/>
          <w:left w:val="single" w:sz="4" w:space="4" w:color="auto"/>
          <w:bottom w:val="single" w:sz="4" w:space="1" w:color="auto"/>
          <w:right w:val="single" w:sz="4" w:space="4" w:color="auto"/>
        </w:pBdr>
        <w:rPr>
          <w:i/>
          <w:lang w:val="en-US"/>
        </w:rPr>
      </w:pPr>
      <w:r w:rsidRPr="006F0BC4">
        <w:rPr>
          <w:i/>
          <w:lang w:val="en-US"/>
        </w:rPr>
        <w:t xml:space="preserve">The box-plot is a statistical and mathematical tool used to visualize numerical data sets and to compare its statistical distribution. </w:t>
      </w:r>
    </w:p>
    <w:p w:rsidR="008570C2" w:rsidRPr="006F0BC4" w:rsidRDefault="008570C2" w:rsidP="008570C2">
      <w:pPr>
        <w:pBdr>
          <w:top w:val="single" w:sz="4" w:space="1" w:color="auto"/>
          <w:left w:val="single" w:sz="4" w:space="4" w:color="auto"/>
          <w:bottom w:val="single" w:sz="4" w:space="1" w:color="auto"/>
          <w:right w:val="single" w:sz="4" w:space="4" w:color="auto"/>
        </w:pBdr>
        <w:rPr>
          <w:i/>
          <w:lang w:val="en-US"/>
        </w:rPr>
      </w:pPr>
      <w:r w:rsidRPr="006F0BC4">
        <w:rPr>
          <w:i/>
          <w:lang w:val="en-US"/>
        </w:rPr>
        <w:t>Because it is used in exploratory analysis of databases, this representation is sensitive to the quality of the central value selected to explain the symmetry, shape and distribution variability. In the case of a box-plot, the most used central value is the median, because it has the quality of sectioning the data string into two halves, so that 50% of the cases will be above the central value and the other half will be below it. Since the purpose of the representation is to highlight outliers’ behavior, it uses a box that encompasses half of the cases, i.e. values that are in the range defined by the percentile of 25% and 75%. If a region has a value in this box then it can be considered that it has, according to the variable in question, a situation close to the average behavior of all regions analyzed.</w:t>
      </w:r>
    </w:p>
    <w:p w:rsidR="008570C2" w:rsidRPr="006F0BC4" w:rsidRDefault="008570C2" w:rsidP="008570C2">
      <w:pPr>
        <w:pBdr>
          <w:top w:val="single" w:sz="4" w:space="1" w:color="auto"/>
          <w:left w:val="single" w:sz="4" w:space="4" w:color="auto"/>
          <w:bottom w:val="single" w:sz="4" w:space="1" w:color="auto"/>
          <w:right w:val="single" w:sz="4" w:space="4" w:color="auto"/>
        </w:pBdr>
        <w:rPr>
          <w:i/>
          <w:lang w:val="en-US"/>
        </w:rPr>
      </w:pPr>
      <w:r w:rsidRPr="006F0BC4">
        <w:rPr>
          <w:i/>
          <w:lang w:val="en-US"/>
        </w:rPr>
        <w:t>When a region consistently deviates from the average profile of the analyzed territorial context, this behavior will be noted in the chart only when certain thresholds of statistical tolerances are exceeded, this being pointed in the diagram with segments perpendicular to the middle box, segments called the "whiskers".</w:t>
      </w:r>
    </w:p>
    <w:p w:rsidR="002371D8" w:rsidRPr="008570C2" w:rsidRDefault="002371D8" w:rsidP="006E618B">
      <w:pPr>
        <w:spacing w:after="0" w:line="240" w:lineRule="auto"/>
        <w:rPr>
          <w:noProof/>
          <w:lang w:val="en-US" w:eastAsia="en-GB"/>
        </w:rPr>
      </w:pPr>
    </w:p>
    <w:p w:rsidR="00F54E2D" w:rsidRDefault="00F54E2D">
      <w:pPr>
        <w:spacing w:after="0" w:line="240" w:lineRule="auto"/>
        <w:jc w:val="left"/>
        <w:rPr>
          <w:noProof/>
          <w:lang w:eastAsia="en-GB"/>
        </w:rPr>
      </w:pPr>
      <w:r>
        <w:rPr>
          <w:noProof/>
          <w:lang w:eastAsia="en-GB"/>
        </w:rPr>
        <w:br w:type="page"/>
      </w:r>
    </w:p>
    <w:p w:rsidR="00337872" w:rsidRDefault="00337872" w:rsidP="00B135A2">
      <w:pPr>
        <w:pStyle w:val="Heading3"/>
      </w:pPr>
      <w:r w:rsidRPr="0044062C">
        <w:lastRenderedPageBreak/>
        <w:t>Inclusive growth</w:t>
      </w:r>
      <w:r>
        <w:t xml:space="preserve"> </w:t>
      </w:r>
    </w:p>
    <w:p w:rsidR="00151954" w:rsidRDefault="00B135A2" w:rsidP="00B135A2">
      <w:r>
        <w:t xml:space="preserve">Inclusive growth </w:t>
      </w:r>
      <w:r w:rsidR="00C00C96">
        <w:t xml:space="preserve">refers to </w:t>
      </w:r>
      <w:r w:rsidR="00C00C96" w:rsidRPr="00151954">
        <w:t>fostering a high-employment economy delivering social and territorial cohesion.</w:t>
      </w:r>
      <w:r w:rsidR="00C00C96">
        <w:t xml:space="preserve"> Within the Europe 2020 Strategy it mea</w:t>
      </w:r>
      <w:r w:rsidR="00151954">
        <w:t>n</w:t>
      </w:r>
      <w:r w:rsidR="00C00C96">
        <w:t>s</w:t>
      </w:r>
      <w:r w:rsidR="00151954">
        <w:t xml:space="preserve"> </w:t>
      </w:r>
      <w:r w:rsidR="00151954" w:rsidRPr="00151954">
        <w:t>raising Europe’s employment rate, helping people of all ages anticipate and manage change through investment in skills &amp; training, modernising labour markets and welfare systems, and ensuring the benefits of growth reach all parts of the EU</w:t>
      </w:r>
      <w:r w:rsidR="00151954">
        <w:t>.</w:t>
      </w:r>
      <w:r w:rsidR="006D6890">
        <w:t xml:space="preserve"> In short the key factor</w:t>
      </w:r>
      <w:r w:rsidR="00EF6DEE">
        <w:t>s</w:t>
      </w:r>
      <w:r w:rsidR="006D6890">
        <w:t xml:space="preserve"> are employment and avoiding risk of poverty and social exclusion.</w:t>
      </w:r>
    </w:p>
    <w:p w:rsidR="005A5FC4" w:rsidRDefault="00872B36" w:rsidP="00B135A2">
      <w:r>
        <w:rPr>
          <w:noProof/>
          <w:lang w:val="en-US"/>
        </w:rPr>
        <w:drawing>
          <wp:anchor distT="0" distB="0" distL="114300" distR="114300" simplePos="0" relativeHeight="251673088" behindDoc="1" locked="0" layoutInCell="1" allowOverlap="1">
            <wp:simplePos x="0" y="0"/>
            <wp:positionH relativeFrom="column">
              <wp:posOffset>17780</wp:posOffset>
            </wp:positionH>
            <wp:positionV relativeFrom="paragraph">
              <wp:posOffset>28575</wp:posOffset>
            </wp:positionV>
            <wp:extent cx="5267960" cy="2560320"/>
            <wp:effectExtent l="19050" t="0" r="8890" b="0"/>
            <wp:wrapTight wrapText="bothSides">
              <wp:wrapPolygon edited="0">
                <wp:start x="-78" y="0"/>
                <wp:lineTo x="-78" y="21375"/>
                <wp:lineTo x="21636" y="21375"/>
                <wp:lineTo x="21636" y="0"/>
                <wp:lineTo x="-78" y="0"/>
              </wp:wrapPolygon>
            </wp:wrapTight>
            <wp:docPr id="9" name="Bild 3" descr="P:\LU_2011_ESPON_TerrEvi_100269\03_Project development\WorkinProgress_FactSheets\Factsheets_CBC_neu\TL_CBC3\Czech Rep.-Germany (Bavaria)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LU_2011_ESPON_TerrEvi_100269\03_Project development\WorkinProgress_FactSheets\Factsheets_CBC_neu\TL_CBC3\Czech Rep.-Germany (Bavaria) 3.png"/>
                    <pic:cNvPicPr>
                      <a:picLocks noChangeAspect="1" noChangeArrowheads="1"/>
                    </pic:cNvPicPr>
                  </pic:nvPicPr>
                  <pic:blipFill>
                    <a:blip r:embed="rId20" cstate="print"/>
                    <a:srcRect/>
                    <a:stretch>
                      <a:fillRect/>
                    </a:stretch>
                  </pic:blipFill>
                  <pic:spPr bwMode="auto">
                    <a:xfrm>
                      <a:off x="0" y="0"/>
                      <a:ext cx="5267960" cy="2560320"/>
                    </a:xfrm>
                    <a:prstGeom prst="rect">
                      <a:avLst/>
                    </a:prstGeom>
                    <a:noFill/>
                    <a:ln w="9525">
                      <a:noFill/>
                      <a:miter lim="800000"/>
                      <a:headEnd/>
                      <a:tailEnd/>
                    </a:ln>
                  </pic:spPr>
                </pic:pic>
              </a:graphicData>
            </a:graphic>
          </wp:anchor>
        </w:drawing>
      </w:r>
    </w:p>
    <w:p w:rsidR="0044062C" w:rsidRPr="00FA0724" w:rsidRDefault="0044062C" w:rsidP="0044062C">
      <w:pPr>
        <w:rPr>
          <w:szCs w:val="20"/>
        </w:rPr>
      </w:pPr>
      <w:r>
        <w:rPr>
          <w:szCs w:val="20"/>
        </w:rPr>
        <w:t>I</w:t>
      </w:r>
      <w:r w:rsidRPr="00FA0724">
        <w:rPr>
          <w:szCs w:val="20"/>
        </w:rPr>
        <w:t>t can generally be stated that the</w:t>
      </w:r>
      <w:r>
        <w:rPr>
          <w:szCs w:val="20"/>
        </w:rPr>
        <w:t xml:space="preserve"> employment</w:t>
      </w:r>
      <w:r w:rsidRPr="00FA0724">
        <w:rPr>
          <w:szCs w:val="20"/>
        </w:rPr>
        <w:t xml:space="preserve"> situation in the CBC area is </w:t>
      </w:r>
      <w:r>
        <w:rPr>
          <w:szCs w:val="20"/>
        </w:rPr>
        <w:t>more</w:t>
      </w:r>
      <w:r w:rsidRPr="00FA0724">
        <w:rPr>
          <w:szCs w:val="20"/>
        </w:rPr>
        <w:t xml:space="preserve"> favourable</w:t>
      </w:r>
      <w:r>
        <w:rPr>
          <w:szCs w:val="20"/>
        </w:rPr>
        <w:t xml:space="preserve"> based on the selected indicators (long-term unemployment, </w:t>
      </w:r>
      <w:r w:rsidRPr="00FA0724">
        <w:rPr>
          <w:szCs w:val="20"/>
        </w:rPr>
        <w:t xml:space="preserve">people </w:t>
      </w:r>
      <w:r>
        <w:rPr>
          <w:szCs w:val="20"/>
        </w:rPr>
        <w:t xml:space="preserve">at risk of poverty and </w:t>
      </w:r>
      <w:r w:rsidRPr="00FA0724">
        <w:rPr>
          <w:szCs w:val="20"/>
        </w:rPr>
        <w:t xml:space="preserve">persons aged 20-64 with upper secondary or tertiary education) </w:t>
      </w:r>
      <w:r>
        <w:rPr>
          <w:szCs w:val="20"/>
        </w:rPr>
        <w:t>than the situation in the EU-</w:t>
      </w:r>
      <w:r w:rsidRPr="00FA0724">
        <w:rPr>
          <w:szCs w:val="20"/>
        </w:rPr>
        <w:t>27+4</w:t>
      </w:r>
      <w:r>
        <w:rPr>
          <w:szCs w:val="20"/>
        </w:rPr>
        <w:t xml:space="preserve">, </w:t>
      </w:r>
      <w:r w:rsidRPr="00FA0724">
        <w:rPr>
          <w:szCs w:val="20"/>
        </w:rPr>
        <w:t>all CBC regions</w:t>
      </w:r>
      <w:r>
        <w:rPr>
          <w:szCs w:val="20"/>
        </w:rPr>
        <w:t xml:space="preserve"> or Germany. When compared to the Czech Republic the CBC area is characterised by lower unemployment rate, but weaker performance with regard to persons at risk of poverty and </w:t>
      </w:r>
      <w:r w:rsidRPr="00FA0724">
        <w:rPr>
          <w:szCs w:val="20"/>
        </w:rPr>
        <w:t>persons aged 25-64 and 20-24 with upper secondary or tertiary education</w:t>
      </w:r>
      <w:r>
        <w:rPr>
          <w:szCs w:val="20"/>
        </w:rPr>
        <w:t>.</w:t>
      </w:r>
      <w:r w:rsidRPr="00653869">
        <w:rPr>
          <w:szCs w:val="20"/>
        </w:rPr>
        <w:t xml:space="preserve"> </w:t>
      </w:r>
      <w:r w:rsidRPr="00FA0724">
        <w:rPr>
          <w:szCs w:val="20"/>
        </w:rPr>
        <w:t>A similar employment situation is reflected by BOX-PLOT 2, which</w:t>
      </w:r>
      <w:r>
        <w:rPr>
          <w:szCs w:val="20"/>
        </w:rPr>
        <w:t xml:space="preserve"> shows that </w:t>
      </w:r>
      <w:r w:rsidRPr="00FA0724">
        <w:rPr>
          <w:szCs w:val="20"/>
        </w:rPr>
        <w:t xml:space="preserve">most NUTS3 regions of the CBC programme had a higher employment rate in 2010 than </w:t>
      </w:r>
      <w:r>
        <w:rPr>
          <w:szCs w:val="20"/>
        </w:rPr>
        <w:t>the</w:t>
      </w:r>
      <w:r w:rsidRPr="00FA0724">
        <w:rPr>
          <w:szCs w:val="20"/>
        </w:rPr>
        <w:t xml:space="preserve"> EU-27+4 </w:t>
      </w:r>
      <w:r>
        <w:rPr>
          <w:szCs w:val="20"/>
        </w:rPr>
        <w:t>or</w:t>
      </w:r>
      <w:r w:rsidRPr="00FA0724">
        <w:rPr>
          <w:szCs w:val="20"/>
        </w:rPr>
        <w:t xml:space="preserve"> </w:t>
      </w:r>
      <w:r>
        <w:rPr>
          <w:szCs w:val="20"/>
        </w:rPr>
        <w:t xml:space="preserve">all CBC regions’ median. The NUTS3 region of Karlovarsky kraj is an exception in this regard, since it has an extremely low employment rate within the Czech Republic and a low rate compared to EU-27+4 and to CBC areas as well. </w:t>
      </w:r>
    </w:p>
    <w:p w:rsidR="0044062C" w:rsidRPr="002C7F41" w:rsidRDefault="0044062C" w:rsidP="0044062C">
      <w:pPr>
        <w:rPr>
          <w:noProof/>
          <w:szCs w:val="20"/>
          <w:lang w:eastAsia="en-GB"/>
        </w:rPr>
      </w:pPr>
      <w:r w:rsidRPr="00C71EEA">
        <w:rPr>
          <w:noProof/>
          <w:szCs w:val="20"/>
          <w:lang w:eastAsia="en-GB"/>
        </w:rPr>
        <w:t>Analysing the different scenarios highlighted in the ESPON DEMIFER project  regarding the change in labour force until 2050</w:t>
      </w:r>
      <w:r>
        <w:rPr>
          <w:noProof/>
          <w:szCs w:val="20"/>
          <w:lang w:eastAsia="en-GB"/>
        </w:rPr>
        <w:t xml:space="preserve"> </w:t>
      </w:r>
      <w:r w:rsidRPr="00C71EEA">
        <w:rPr>
          <w:noProof/>
          <w:szCs w:val="20"/>
          <w:lang w:eastAsia="en-GB"/>
        </w:rPr>
        <w:t>(MAP 3), it can be sta</w:t>
      </w:r>
      <w:r>
        <w:rPr>
          <w:noProof/>
          <w:szCs w:val="20"/>
          <w:lang w:eastAsia="en-GB"/>
        </w:rPr>
        <w:t>ted that there are significant</w:t>
      </w:r>
      <w:r w:rsidRPr="00C71EEA">
        <w:rPr>
          <w:noProof/>
          <w:szCs w:val="20"/>
          <w:lang w:eastAsia="en-GB"/>
        </w:rPr>
        <w:t xml:space="preserve"> negative changes on each side of the border. </w:t>
      </w:r>
      <w:r>
        <w:rPr>
          <w:noProof/>
          <w:szCs w:val="20"/>
          <w:lang w:eastAsia="en-GB"/>
        </w:rPr>
        <w:t xml:space="preserve">Only according to </w:t>
      </w:r>
      <w:r w:rsidRPr="00C71EEA">
        <w:rPr>
          <w:noProof/>
          <w:szCs w:val="20"/>
          <w:lang w:eastAsia="en-GB"/>
        </w:rPr>
        <w:t>t</w:t>
      </w:r>
      <w:r>
        <w:rPr>
          <w:noProof/>
          <w:szCs w:val="20"/>
          <w:lang w:eastAsia="en-GB"/>
        </w:rPr>
        <w:t>wo</w:t>
      </w:r>
      <w:r w:rsidRPr="00C71EEA">
        <w:rPr>
          <w:noProof/>
          <w:szCs w:val="20"/>
          <w:lang w:eastAsia="en-GB"/>
        </w:rPr>
        <w:t xml:space="preserve"> scenario</w:t>
      </w:r>
      <w:r>
        <w:rPr>
          <w:noProof/>
          <w:szCs w:val="20"/>
          <w:lang w:eastAsia="en-GB"/>
        </w:rPr>
        <w:t>s (‘Growing Social Europe’ and ‘Expanding Market Europe’) a less pessimistic</w:t>
      </w:r>
      <w:r w:rsidRPr="00C71EEA">
        <w:rPr>
          <w:noProof/>
          <w:szCs w:val="20"/>
          <w:lang w:eastAsia="en-GB"/>
        </w:rPr>
        <w:t xml:space="preserve"> </w:t>
      </w:r>
      <w:r>
        <w:rPr>
          <w:noProof/>
          <w:szCs w:val="20"/>
          <w:lang w:eastAsia="en-GB"/>
        </w:rPr>
        <w:t>(but still negative) employment trend</w:t>
      </w:r>
      <w:r w:rsidRPr="00C71EEA">
        <w:rPr>
          <w:noProof/>
          <w:szCs w:val="20"/>
          <w:lang w:eastAsia="en-GB"/>
        </w:rPr>
        <w:t xml:space="preserve"> on the </w:t>
      </w:r>
      <w:r>
        <w:rPr>
          <w:noProof/>
          <w:szCs w:val="20"/>
          <w:lang w:eastAsia="en-GB"/>
        </w:rPr>
        <w:t>German</w:t>
      </w:r>
      <w:r w:rsidRPr="00C71EEA">
        <w:rPr>
          <w:noProof/>
          <w:szCs w:val="20"/>
          <w:lang w:eastAsia="en-GB"/>
        </w:rPr>
        <w:t xml:space="preserve"> side</w:t>
      </w:r>
      <w:r>
        <w:rPr>
          <w:noProof/>
          <w:szCs w:val="20"/>
          <w:lang w:eastAsia="en-GB"/>
        </w:rPr>
        <w:t xml:space="preserve"> and in the NUTS3 region of Karlovarsky kraj can</w:t>
      </w:r>
      <w:r w:rsidRPr="00C71EEA">
        <w:rPr>
          <w:noProof/>
          <w:szCs w:val="20"/>
          <w:lang w:eastAsia="en-GB"/>
        </w:rPr>
        <w:t xml:space="preserve"> be considered</w:t>
      </w:r>
      <w:r>
        <w:rPr>
          <w:noProof/>
          <w:szCs w:val="20"/>
          <w:lang w:eastAsia="en-GB"/>
        </w:rPr>
        <w:t xml:space="preserve"> as</w:t>
      </w:r>
      <w:r w:rsidRPr="00C71EEA">
        <w:rPr>
          <w:noProof/>
          <w:szCs w:val="20"/>
          <w:lang w:eastAsia="en-GB"/>
        </w:rPr>
        <w:t xml:space="preserve"> a possibility.</w:t>
      </w:r>
      <w:r w:rsidRPr="002C7F41">
        <w:rPr>
          <w:noProof/>
          <w:szCs w:val="20"/>
          <w:lang w:eastAsia="en-GB"/>
        </w:rPr>
        <w:t xml:space="preserve"> </w:t>
      </w:r>
    </w:p>
    <w:p w:rsidR="00104631" w:rsidRDefault="00104631">
      <w:pPr>
        <w:spacing w:after="0" w:line="240" w:lineRule="auto"/>
        <w:jc w:val="left"/>
        <w:rPr>
          <w:noProof/>
          <w:lang w:eastAsia="en-GB"/>
        </w:rPr>
      </w:pPr>
      <w:r>
        <w:rPr>
          <w:noProof/>
          <w:lang w:eastAsia="en-GB"/>
        </w:rPr>
        <w:br w:type="page"/>
      </w:r>
    </w:p>
    <w:p w:rsidR="005A5FC4" w:rsidRPr="00C33A99" w:rsidRDefault="00016B50" w:rsidP="005A5FC4">
      <w:pPr>
        <w:rPr>
          <w:b/>
        </w:rPr>
      </w:pPr>
      <w:r>
        <w:rPr>
          <w:b/>
        </w:rPr>
        <w:lastRenderedPageBreak/>
        <w:t xml:space="preserve">MAP 3 – </w:t>
      </w:r>
      <w:r w:rsidR="00C04A1F" w:rsidRPr="00C33A99">
        <w:rPr>
          <w:b/>
        </w:rPr>
        <w:t>Change in Labour Force 2005-2050 (ESPON DEMIFER project)</w:t>
      </w:r>
      <w:r w:rsidR="002371D8">
        <w:rPr>
          <w:b/>
        </w:rPr>
        <w:t xml:space="preserve"> for the CBC </w:t>
      </w:r>
      <w:r w:rsidR="0003499E">
        <w:rPr>
          <w:b/>
        </w:rPr>
        <w:t>Bavaria – Czech Republic</w:t>
      </w:r>
    </w:p>
    <w:p w:rsidR="0089569C" w:rsidRDefault="0089569C" w:rsidP="0089569C">
      <w:pPr>
        <w:spacing w:after="0" w:line="240" w:lineRule="auto"/>
        <w:rPr>
          <w:noProof/>
          <w:lang w:eastAsia="en-GB"/>
        </w:rPr>
      </w:pPr>
    </w:p>
    <w:p w:rsidR="0089569C" w:rsidRDefault="002B6507" w:rsidP="0089569C">
      <w:pPr>
        <w:spacing w:after="0" w:line="240" w:lineRule="auto"/>
        <w:rPr>
          <w:noProof/>
          <w:lang w:eastAsia="en-GB"/>
        </w:rPr>
      </w:pPr>
      <w:r w:rsidRPr="002B6507">
        <w:rPr>
          <w:noProof/>
          <w:lang w:val="de-DE" w:eastAsia="de-DE"/>
        </w:rPr>
        <w:pict>
          <v:oval id="_x0000_s1034" style="position:absolute;left:0;text-align:left;margin-left:299.45pt;margin-top:325.5pt;width:23.2pt;height:13.35pt;rotation:2116376fd;z-index:251667968" filled="f" strokecolor="#0070c0" strokeweight="2pt"/>
        </w:pict>
      </w:r>
      <w:r w:rsidRPr="002B6507">
        <w:rPr>
          <w:noProof/>
          <w:lang w:val="de-DE" w:eastAsia="de-DE"/>
        </w:rPr>
        <w:pict>
          <v:oval id="_x0000_s1033" style="position:absolute;left:0;text-align:left;margin-left:101pt;margin-top:325.5pt;width:23.2pt;height:13.35pt;rotation:2116376fd;z-index:251666944" filled="f" strokecolor="#0070c0" strokeweight="2pt"/>
        </w:pict>
      </w:r>
      <w:r w:rsidRPr="002B6507">
        <w:rPr>
          <w:noProof/>
          <w:lang w:val="de-DE" w:eastAsia="de-DE"/>
        </w:rPr>
        <w:pict>
          <v:oval id="_x0000_s1032" style="position:absolute;left:0;text-align:left;margin-left:299.45pt;margin-top:121.25pt;width:23.2pt;height:13.35pt;rotation:2116376fd;z-index:251665920" filled="f" strokecolor="#0070c0" strokeweight="2pt"/>
        </w:pict>
      </w:r>
      <w:r w:rsidRPr="002B6507">
        <w:rPr>
          <w:noProof/>
          <w:lang w:val="de-DE" w:eastAsia="de-DE"/>
        </w:rPr>
        <w:pict>
          <v:oval id="_x0000_s1031" style="position:absolute;left:0;text-align:left;margin-left:101pt;margin-top:121.25pt;width:23.2pt;height:13.35pt;rotation:2116376fd;z-index:251664896" filled="f" strokecolor="#0070c0" strokeweight="2pt"/>
        </w:pict>
      </w:r>
      <w:r w:rsidR="00AD6865">
        <w:rPr>
          <w:noProof/>
          <w:lang w:val="en-US"/>
        </w:rPr>
        <w:drawing>
          <wp:inline distT="0" distB="0" distL="0" distR="0">
            <wp:extent cx="5278755" cy="6911340"/>
            <wp:effectExtent l="19050" t="0" r="0" b="0"/>
            <wp:docPr id="17" name="Grafik 16" descr="MAP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P3.png"/>
                    <pic:cNvPicPr/>
                  </pic:nvPicPr>
                  <pic:blipFill>
                    <a:blip r:embed="rId21" cstate="print"/>
                    <a:stretch>
                      <a:fillRect/>
                    </a:stretch>
                  </pic:blipFill>
                  <pic:spPr>
                    <a:xfrm>
                      <a:off x="0" y="0"/>
                      <a:ext cx="5278755" cy="6911340"/>
                    </a:xfrm>
                    <a:prstGeom prst="rect">
                      <a:avLst/>
                    </a:prstGeom>
                  </pic:spPr>
                </pic:pic>
              </a:graphicData>
            </a:graphic>
          </wp:inline>
        </w:drawing>
      </w:r>
    </w:p>
    <w:p w:rsidR="0089569C" w:rsidRDefault="0089569C" w:rsidP="0089569C">
      <w:pPr>
        <w:spacing w:after="0" w:line="240" w:lineRule="auto"/>
        <w:rPr>
          <w:noProof/>
          <w:lang w:eastAsia="en-GB"/>
        </w:rPr>
      </w:pPr>
    </w:p>
    <w:p w:rsidR="00FD4E3A" w:rsidRDefault="00FD4E3A">
      <w:pPr>
        <w:spacing w:after="0" w:line="240" w:lineRule="auto"/>
        <w:jc w:val="left"/>
        <w:rPr>
          <w:noProof/>
          <w:lang w:eastAsia="en-GB"/>
        </w:rPr>
      </w:pPr>
      <w:r>
        <w:rPr>
          <w:noProof/>
          <w:lang w:eastAsia="en-GB"/>
        </w:rPr>
        <w:br w:type="page"/>
      </w:r>
    </w:p>
    <w:p w:rsidR="008570C2" w:rsidRDefault="008570C2" w:rsidP="008570C2">
      <w:pPr>
        <w:rPr>
          <w:noProof/>
          <w:lang w:eastAsia="en-GB"/>
        </w:rPr>
      </w:pPr>
      <w:r w:rsidRPr="0090790F">
        <w:rPr>
          <w:b/>
        </w:rPr>
        <w:lastRenderedPageBreak/>
        <w:t xml:space="preserve">BOX-PLOT 2 – Employment rate 2010 within the CBC </w:t>
      </w:r>
      <w:r>
        <w:rPr>
          <w:b/>
        </w:rPr>
        <w:t>Bavaria – Czech Republic</w:t>
      </w:r>
    </w:p>
    <w:p w:rsidR="008570C2" w:rsidRDefault="008570C2" w:rsidP="008570C2">
      <w:pPr>
        <w:spacing w:after="0" w:line="240" w:lineRule="auto"/>
        <w:jc w:val="left"/>
        <w:rPr>
          <w:noProof/>
          <w:lang w:eastAsia="en-GB"/>
        </w:rPr>
      </w:pPr>
      <w:r>
        <w:rPr>
          <w:noProof/>
          <w:lang w:val="en-US"/>
        </w:rPr>
        <w:drawing>
          <wp:inline distT="0" distB="0" distL="0" distR="0">
            <wp:extent cx="5278755" cy="4043302"/>
            <wp:effectExtent l="19050" t="0" r="0" b="0"/>
            <wp:docPr id="4"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2" cstate="print"/>
                    <a:srcRect/>
                    <a:stretch>
                      <a:fillRect/>
                    </a:stretch>
                  </pic:blipFill>
                  <pic:spPr bwMode="auto">
                    <a:xfrm>
                      <a:off x="0" y="0"/>
                      <a:ext cx="5278755" cy="4043302"/>
                    </a:xfrm>
                    <a:prstGeom prst="rect">
                      <a:avLst/>
                    </a:prstGeom>
                    <a:noFill/>
                    <a:ln w="9525">
                      <a:noFill/>
                      <a:miter lim="800000"/>
                      <a:headEnd/>
                      <a:tailEnd/>
                    </a:ln>
                  </pic:spPr>
                </pic:pic>
              </a:graphicData>
            </a:graphic>
          </wp:inline>
        </w:drawing>
      </w:r>
    </w:p>
    <w:p w:rsidR="008570C2" w:rsidRDefault="008570C2" w:rsidP="008570C2">
      <w:pPr>
        <w:spacing w:after="0" w:line="240" w:lineRule="auto"/>
        <w:jc w:val="left"/>
        <w:rPr>
          <w:noProof/>
          <w:lang w:eastAsia="en-GB"/>
        </w:rPr>
      </w:pPr>
    </w:p>
    <w:p w:rsidR="008570C2" w:rsidRPr="00383954" w:rsidRDefault="008570C2" w:rsidP="008570C2">
      <w:pPr>
        <w:spacing w:after="0" w:line="240" w:lineRule="auto"/>
        <w:jc w:val="left"/>
        <w:rPr>
          <w:i/>
          <w:noProof/>
          <w:lang w:eastAsia="en-GB"/>
        </w:rPr>
      </w:pPr>
      <w:r w:rsidRPr="00383954">
        <w:rPr>
          <w:i/>
          <w:noProof/>
          <w:lang w:eastAsia="en-GB"/>
        </w:rPr>
        <w:t xml:space="preserve">(see “How to read the box-plots?” on page </w:t>
      </w:r>
      <w:r w:rsidR="00DE50C5">
        <w:rPr>
          <w:i/>
          <w:noProof/>
          <w:lang w:eastAsia="en-GB"/>
        </w:rPr>
        <w:t>8</w:t>
      </w:r>
      <w:r w:rsidRPr="00383954">
        <w:rPr>
          <w:i/>
          <w:noProof/>
          <w:lang w:eastAsia="en-GB"/>
        </w:rPr>
        <w:t>)</w:t>
      </w:r>
    </w:p>
    <w:p w:rsidR="00383954" w:rsidRDefault="00383954" w:rsidP="00FD4E3A">
      <w:pPr>
        <w:spacing w:after="0" w:line="240" w:lineRule="auto"/>
        <w:jc w:val="left"/>
        <w:rPr>
          <w:noProof/>
          <w:lang w:eastAsia="en-GB"/>
        </w:rPr>
      </w:pPr>
    </w:p>
    <w:p w:rsidR="006F49F1" w:rsidRDefault="006F49F1">
      <w:pPr>
        <w:spacing w:after="0" w:line="240" w:lineRule="auto"/>
        <w:jc w:val="left"/>
        <w:rPr>
          <w:noProof/>
          <w:lang w:eastAsia="en-GB"/>
        </w:rPr>
      </w:pPr>
      <w:r>
        <w:rPr>
          <w:noProof/>
          <w:lang w:eastAsia="en-GB"/>
        </w:rPr>
        <w:br w:type="page"/>
      </w:r>
    </w:p>
    <w:p w:rsidR="005761A6" w:rsidRPr="00705BAD" w:rsidRDefault="005761A6" w:rsidP="005761A6">
      <w:pPr>
        <w:pStyle w:val="Heading1"/>
      </w:pPr>
      <w:r w:rsidRPr="00705BAD">
        <w:lastRenderedPageBreak/>
        <w:t xml:space="preserve">Territorial factors of interest for the programme area </w:t>
      </w:r>
    </w:p>
    <w:p w:rsidR="005A5FC4" w:rsidRPr="005A5FC4" w:rsidRDefault="005A5FC4" w:rsidP="005A5FC4"/>
    <w:p w:rsidR="00705BAD" w:rsidRDefault="00705BAD" w:rsidP="00705BAD">
      <w:r w:rsidRPr="00352603">
        <w:t>Territorial cooperation programmes can make a difference for the future development of cross-border and transnational territories in Europe. Some of the factors can be analysed by European wide data sets</w:t>
      </w:r>
      <w:r>
        <w:t xml:space="preserve"> and using some studies having specific maps, figures and tables concerning the areas of the cooperation region. </w:t>
      </w:r>
    </w:p>
    <w:p w:rsidR="00705BAD" w:rsidRDefault="00705BAD" w:rsidP="00705BAD">
      <w:r>
        <w:t xml:space="preserve">In a European perspective the programme area comprises is mainly rural regions and some intermediate regions close to a city. The urban centres of the programme area are mainly Karlovy Vary, Plzen and Ceske Budejovice. However, the development of the programme area benefits also from the close proximity to larger urban centres such as Prague, Chemnitz, Nuremberg, Regensburg, and in some further distance even Munich. </w:t>
      </w:r>
    </w:p>
    <w:p w:rsidR="00705BAD" w:rsidRDefault="00705BAD" w:rsidP="00705BAD">
      <w:r>
        <w:t xml:space="preserve">This concerns both the access to services and infrastructure. At present, most parts of the programme areas area have below European average accessibility and only limited opportunities for one-day business trips within the European urban network. For international links the airports of large metropolitan areas close by and in particular the ones of Munich and Prague seem to be of importance. When it comes to ICT infrastructure, the level of internet use and connections appears to be moderate to high, in a European perspective. </w:t>
      </w:r>
    </w:p>
    <w:p w:rsidR="00705BAD" w:rsidRDefault="00705BAD" w:rsidP="00705BAD">
      <w:r>
        <w:t xml:space="preserve">At the same time, the mainly ‘rural close to a city’ character and of the programme area comprises a wide range of development opportunities and challenges. In European perspective the area is characterised as mountainous. </w:t>
      </w:r>
      <w:r w:rsidRPr="0032010C">
        <w:t xml:space="preserve">ESPON GEOSPECS has developed a nexus model for mountainous regions linking defining features via intermediary process to development challenges and opportunities (see figure). This model can be of interest for further developing the discussion about the challenges and opportunities in the programme area. </w:t>
      </w:r>
    </w:p>
    <w:p w:rsidR="00705BAD" w:rsidRDefault="00705BAD" w:rsidP="00705BAD">
      <w:pPr>
        <w:shd w:val="clear" w:color="auto" w:fill="F2F2F2" w:themeFill="background1" w:themeFillShade="F2"/>
        <w:jc w:val="left"/>
        <w:rPr>
          <w:rFonts w:cs="Calibri"/>
          <w:sz w:val="18"/>
          <w:szCs w:val="20"/>
          <w:lang w:eastAsia="fr-FR"/>
        </w:rPr>
      </w:pPr>
      <w:r w:rsidRPr="00637C5D">
        <w:rPr>
          <w:rFonts w:cs="Calibri"/>
          <w:sz w:val="18"/>
          <w:szCs w:val="20"/>
          <w:lang w:eastAsia="fr-FR"/>
        </w:rPr>
        <w:t xml:space="preserve">ESPON </w:t>
      </w:r>
      <w:r>
        <w:rPr>
          <w:rFonts w:cs="Calibri"/>
          <w:sz w:val="18"/>
          <w:szCs w:val="20"/>
          <w:lang w:eastAsia="fr-FR"/>
        </w:rPr>
        <w:t>GEOSPECS</w:t>
      </w:r>
      <w:r w:rsidRPr="00637C5D">
        <w:rPr>
          <w:rFonts w:cs="Calibri"/>
          <w:sz w:val="18"/>
          <w:szCs w:val="20"/>
          <w:lang w:eastAsia="fr-FR"/>
        </w:rPr>
        <w:t xml:space="preserve"> PROJECT –</w:t>
      </w:r>
      <w:r>
        <w:rPr>
          <w:rFonts w:cs="Calibri"/>
          <w:sz w:val="18"/>
          <w:szCs w:val="20"/>
          <w:lang w:eastAsia="fr-FR"/>
        </w:rPr>
        <w:t xml:space="preserve"> FINAL REPORT, PAGE 102:</w:t>
      </w:r>
      <w:r>
        <w:rPr>
          <w:rFonts w:cs="Calibri"/>
          <w:sz w:val="18"/>
          <w:szCs w:val="20"/>
          <w:lang w:eastAsia="fr-FR"/>
        </w:rPr>
        <w:br/>
        <w:t>Nexus model for mountain areas</w:t>
      </w:r>
    </w:p>
    <w:p w:rsidR="00705BAD" w:rsidRDefault="00705BAD" w:rsidP="00705BAD">
      <w:pPr>
        <w:shd w:val="clear" w:color="auto" w:fill="F2F2F2" w:themeFill="background1" w:themeFillShade="F2"/>
        <w:spacing w:after="0" w:line="240" w:lineRule="auto"/>
        <w:jc w:val="center"/>
        <w:rPr>
          <w:rFonts w:cs="Calibri"/>
          <w:sz w:val="18"/>
          <w:szCs w:val="20"/>
          <w:lang w:eastAsia="fr-FR"/>
        </w:rPr>
      </w:pPr>
      <w:r>
        <w:rPr>
          <w:noProof/>
          <w:lang w:val="en-US"/>
        </w:rPr>
        <w:drawing>
          <wp:inline distT="0" distB="0" distL="0" distR="0">
            <wp:extent cx="5278755" cy="3185857"/>
            <wp:effectExtent l="25400" t="0" r="4445" b="0"/>
            <wp:docPr id="3"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3" cstate="print"/>
                    <a:srcRect/>
                    <a:stretch>
                      <a:fillRect/>
                    </a:stretch>
                  </pic:blipFill>
                  <pic:spPr bwMode="auto">
                    <a:xfrm>
                      <a:off x="0" y="0"/>
                      <a:ext cx="5278755" cy="3185857"/>
                    </a:xfrm>
                    <a:prstGeom prst="rect">
                      <a:avLst/>
                    </a:prstGeom>
                    <a:noFill/>
                    <a:ln w="9525">
                      <a:noFill/>
                      <a:miter lim="800000"/>
                      <a:headEnd/>
                      <a:tailEnd/>
                    </a:ln>
                  </pic:spPr>
                </pic:pic>
              </a:graphicData>
            </a:graphic>
          </wp:inline>
        </w:drawing>
      </w:r>
    </w:p>
    <w:p w:rsidR="00705BAD" w:rsidRPr="008211BF" w:rsidRDefault="00705BAD" w:rsidP="00705BAD">
      <w:pPr>
        <w:shd w:val="clear" w:color="auto" w:fill="F2F2F2" w:themeFill="background1" w:themeFillShade="F2"/>
        <w:rPr>
          <w:rFonts w:cs="Calibri"/>
          <w:sz w:val="18"/>
          <w:szCs w:val="20"/>
          <w:lang w:eastAsia="fr-FR"/>
        </w:rPr>
      </w:pPr>
      <w:r>
        <w:rPr>
          <w:rFonts w:cs="Calibri"/>
          <w:sz w:val="18"/>
          <w:szCs w:val="20"/>
          <w:lang w:eastAsia="fr-FR"/>
        </w:rPr>
        <w:t xml:space="preserve"> </w:t>
      </w:r>
    </w:p>
    <w:p w:rsidR="009B2BE6" w:rsidRDefault="009B2BE6">
      <w:pPr>
        <w:spacing w:after="0" w:line="240" w:lineRule="auto"/>
        <w:jc w:val="left"/>
      </w:pPr>
      <w:r>
        <w:br w:type="page"/>
      </w:r>
    </w:p>
    <w:p w:rsidR="005A5FC4" w:rsidRPr="00C33A99" w:rsidRDefault="0019394E" w:rsidP="005A5FC4">
      <w:pPr>
        <w:rPr>
          <w:b/>
        </w:rPr>
      </w:pPr>
      <w:r w:rsidRPr="0019394E">
        <w:rPr>
          <w:b/>
          <w:noProof/>
          <w:lang w:eastAsia="en-GB"/>
        </w:rPr>
        <w:lastRenderedPageBreak/>
        <w:t xml:space="preserve">MAP </w:t>
      </w:r>
      <w:r w:rsidR="00016B50">
        <w:rPr>
          <w:b/>
          <w:noProof/>
          <w:lang w:eastAsia="en-GB"/>
        </w:rPr>
        <w:t xml:space="preserve">4 </w:t>
      </w:r>
      <w:r w:rsidRPr="0019394E">
        <w:rPr>
          <w:b/>
          <w:noProof/>
          <w:lang w:eastAsia="en-GB"/>
        </w:rPr>
        <w:t xml:space="preserve">– Urban-rural typology of NUTS3 regions including remoteness (DG Regio) </w:t>
      </w:r>
      <w:r>
        <w:rPr>
          <w:b/>
          <w:noProof/>
          <w:lang w:eastAsia="en-GB"/>
        </w:rPr>
        <w:t xml:space="preserve">for the CBC </w:t>
      </w:r>
      <w:r w:rsidR="0003499E">
        <w:rPr>
          <w:b/>
        </w:rPr>
        <w:t>Bavaria – Czech Republic</w:t>
      </w:r>
    </w:p>
    <w:p w:rsidR="0089569C" w:rsidRDefault="0089569C" w:rsidP="0089569C">
      <w:pPr>
        <w:spacing w:after="0" w:line="240" w:lineRule="auto"/>
        <w:jc w:val="left"/>
        <w:rPr>
          <w:noProof/>
          <w:lang w:eastAsia="en-GB"/>
        </w:rPr>
      </w:pPr>
    </w:p>
    <w:p w:rsidR="0089569C" w:rsidRDefault="002B6507" w:rsidP="0089569C">
      <w:pPr>
        <w:spacing w:after="0" w:line="240" w:lineRule="auto"/>
        <w:jc w:val="left"/>
        <w:rPr>
          <w:noProof/>
          <w:lang w:eastAsia="en-GB"/>
        </w:rPr>
      </w:pPr>
      <w:r w:rsidRPr="002B6507">
        <w:rPr>
          <w:noProof/>
          <w:lang w:val="de-DE" w:eastAsia="de-DE"/>
        </w:rPr>
        <w:pict>
          <v:oval id="_x0000_s1035" style="position:absolute;margin-left:180.95pt;margin-top:232.35pt;width:36.9pt;height:21.25pt;rotation:2116376fd;z-index:251668992" filled="f" strokecolor="#0070c0" strokeweight="2pt"/>
        </w:pict>
      </w:r>
      <w:r w:rsidR="00AC2BDE">
        <w:rPr>
          <w:noProof/>
          <w:lang w:val="en-US"/>
        </w:rPr>
        <w:drawing>
          <wp:inline distT="0" distB="0" distL="0" distR="0">
            <wp:extent cx="5278755" cy="7213978"/>
            <wp:effectExtent l="19050" t="0" r="0" b="0"/>
            <wp:docPr id="7"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cstate="print"/>
                    <a:srcRect/>
                    <a:stretch>
                      <a:fillRect/>
                    </a:stretch>
                  </pic:blipFill>
                  <pic:spPr bwMode="auto">
                    <a:xfrm>
                      <a:off x="0" y="0"/>
                      <a:ext cx="5278755" cy="7213978"/>
                    </a:xfrm>
                    <a:prstGeom prst="rect">
                      <a:avLst/>
                    </a:prstGeom>
                    <a:noFill/>
                    <a:ln w="9525">
                      <a:noFill/>
                      <a:miter lim="800000"/>
                      <a:headEnd/>
                      <a:tailEnd/>
                    </a:ln>
                  </pic:spPr>
                </pic:pic>
              </a:graphicData>
            </a:graphic>
          </wp:inline>
        </w:drawing>
      </w:r>
    </w:p>
    <w:p w:rsidR="001F57B5" w:rsidRPr="0085195F" w:rsidRDefault="001F57B5" w:rsidP="001F57B5">
      <w:pPr>
        <w:jc w:val="right"/>
        <w:rPr>
          <w:i/>
        </w:rPr>
      </w:pPr>
      <w:r w:rsidRPr="0085195F">
        <w:rPr>
          <w:i/>
        </w:rPr>
        <w:t>(Accessible=close to a city)</w:t>
      </w:r>
    </w:p>
    <w:p w:rsidR="0089569C" w:rsidRDefault="0089569C" w:rsidP="0089569C">
      <w:pPr>
        <w:spacing w:after="0" w:line="240" w:lineRule="auto"/>
        <w:jc w:val="left"/>
        <w:rPr>
          <w:noProof/>
          <w:lang w:eastAsia="en-GB"/>
        </w:rPr>
      </w:pPr>
    </w:p>
    <w:p w:rsidR="0019394E" w:rsidRDefault="0019394E" w:rsidP="0019394E">
      <w:pPr>
        <w:spacing w:after="0" w:line="240" w:lineRule="auto"/>
        <w:jc w:val="left"/>
        <w:rPr>
          <w:noProof/>
          <w:lang w:eastAsia="en-GB"/>
        </w:rPr>
      </w:pPr>
      <w:r>
        <w:rPr>
          <w:noProof/>
          <w:lang w:eastAsia="en-GB"/>
        </w:rPr>
        <w:br w:type="page"/>
      </w:r>
    </w:p>
    <w:p w:rsidR="005A5FC4" w:rsidRDefault="00016B50" w:rsidP="005A5FC4">
      <w:pPr>
        <w:rPr>
          <w:b/>
        </w:rPr>
      </w:pPr>
      <w:r>
        <w:rPr>
          <w:b/>
          <w:noProof/>
          <w:lang w:eastAsia="en-GB"/>
        </w:rPr>
        <w:lastRenderedPageBreak/>
        <w:t xml:space="preserve">MAP 5 – </w:t>
      </w:r>
      <w:r w:rsidR="0019394E" w:rsidRPr="0019394E">
        <w:rPr>
          <w:b/>
          <w:noProof/>
          <w:lang w:eastAsia="en-GB"/>
        </w:rPr>
        <w:t xml:space="preserve">Multimodal accessibilty (ESPON Accessibility Update) </w:t>
      </w:r>
      <w:r w:rsidR="0019394E">
        <w:rPr>
          <w:b/>
          <w:noProof/>
          <w:lang w:eastAsia="en-GB"/>
        </w:rPr>
        <w:t xml:space="preserve">for the CBC </w:t>
      </w:r>
      <w:r w:rsidR="0003499E">
        <w:rPr>
          <w:b/>
        </w:rPr>
        <w:t>Bavaria – Czech Republic</w:t>
      </w:r>
    </w:p>
    <w:p w:rsidR="007A3597" w:rsidRPr="00021CAB" w:rsidRDefault="007A3597" w:rsidP="007A3597">
      <w:pPr>
        <w:spacing w:after="240"/>
        <w:rPr>
          <w:i/>
        </w:rPr>
      </w:pPr>
      <w:r w:rsidRPr="00021CAB">
        <w:rPr>
          <w:i/>
        </w:rPr>
        <w:t>“Potential Accessibility Multimodal” scores accessibility of NUTS 3 regions by road, rail and air relative to the European average in an Accessibility Index.</w:t>
      </w:r>
    </w:p>
    <w:p w:rsidR="0089569C" w:rsidRDefault="002B6507" w:rsidP="0089569C">
      <w:pPr>
        <w:spacing w:after="0" w:line="240" w:lineRule="auto"/>
        <w:jc w:val="left"/>
        <w:rPr>
          <w:noProof/>
          <w:lang w:eastAsia="en-GB"/>
        </w:rPr>
      </w:pPr>
      <w:r w:rsidRPr="002B6507">
        <w:rPr>
          <w:noProof/>
          <w:lang w:val="de-DE" w:eastAsia="de-DE"/>
        </w:rPr>
        <w:pict>
          <v:oval id="_x0000_s1036" style="position:absolute;margin-left:182pt;margin-top:231.05pt;width:40.1pt;height:23.1pt;rotation:2116376fd;z-index:251670016" filled="f" strokecolor="#0070c0" strokeweight="2pt"/>
        </w:pict>
      </w:r>
      <w:r w:rsidR="00AD6865">
        <w:rPr>
          <w:noProof/>
          <w:lang w:val="en-US"/>
        </w:rPr>
        <w:drawing>
          <wp:inline distT="0" distB="0" distL="0" distR="0">
            <wp:extent cx="5278755" cy="7444105"/>
            <wp:effectExtent l="19050" t="0" r="0" b="0"/>
            <wp:docPr id="19" name="Grafik 18" descr="MAP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P5.jpg"/>
                    <pic:cNvPicPr/>
                  </pic:nvPicPr>
                  <pic:blipFill>
                    <a:blip r:embed="rId25" cstate="print"/>
                    <a:stretch>
                      <a:fillRect/>
                    </a:stretch>
                  </pic:blipFill>
                  <pic:spPr>
                    <a:xfrm>
                      <a:off x="0" y="0"/>
                      <a:ext cx="5278755" cy="7444105"/>
                    </a:xfrm>
                    <a:prstGeom prst="rect">
                      <a:avLst/>
                    </a:prstGeom>
                  </pic:spPr>
                </pic:pic>
              </a:graphicData>
            </a:graphic>
          </wp:inline>
        </w:drawing>
      </w:r>
    </w:p>
    <w:p w:rsidR="0089569C" w:rsidRDefault="0089569C" w:rsidP="0089569C">
      <w:pPr>
        <w:spacing w:after="0" w:line="240" w:lineRule="auto"/>
        <w:jc w:val="left"/>
        <w:rPr>
          <w:noProof/>
          <w:lang w:eastAsia="en-GB"/>
        </w:rPr>
      </w:pPr>
    </w:p>
    <w:p w:rsidR="0019394E" w:rsidRDefault="0019394E" w:rsidP="0019394E">
      <w:pPr>
        <w:spacing w:after="0" w:line="240" w:lineRule="auto"/>
        <w:jc w:val="left"/>
        <w:rPr>
          <w:noProof/>
          <w:lang w:eastAsia="en-GB"/>
        </w:rPr>
      </w:pPr>
      <w:r>
        <w:rPr>
          <w:noProof/>
          <w:lang w:eastAsia="en-GB"/>
        </w:rPr>
        <w:br w:type="page"/>
      </w:r>
    </w:p>
    <w:p w:rsidR="0019394E" w:rsidRPr="00705BAD" w:rsidRDefault="005A5FC4" w:rsidP="0019394E">
      <w:pPr>
        <w:pStyle w:val="Heading1"/>
      </w:pPr>
      <w:r w:rsidRPr="00705BAD">
        <w:lastRenderedPageBreak/>
        <w:t>Recommended ESPON reading</w:t>
      </w:r>
    </w:p>
    <w:p w:rsidR="0044062C" w:rsidRDefault="0044062C" w:rsidP="0044062C">
      <w:r w:rsidRPr="00E46C40">
        <w:t>ESPON provides an essential underpinning for tran</w:t>
      </w:r>
      <w:r>
        <w:t xml:space="preserve">slating into practice the calls </w:t>
      </w:r>
      <w:r w:rsidRPr="00E46C40">
        <w:t>for integrated and place-based app</w:t>
      </w:r>
      <w:r>
        <w:t>roaches to economic development, when analysing a programme area or deciding about future programme priorities.</w:t>
      </w:r>
      <w:r w:rsidRPr="00E46C40">
        <w:t xml:space="preserve"> </w:t>
      </w:r>
      <w:r>
        <w:t xml:space="preserve">ESPON has published a wide range of exciting reports providing valuable territorial evidence for future territorial cooperation initiatives. </w:t>
      </w:r>
    </w:p>
    <w:p w:rsidR="0044062C" w:rsidRDefault="0044062C" w:rsidP="0044062C">
      <w:r>
        <w:t>The table below shows examples of relevant projects for the Cooperation Region.</w:t>
      </w:r>
      <w:r w:rsidRPr="000757CA">
        <w:t xml:space="preserve"> </w:t>
      </w:r>
      <w:r>
        <w:t>However, you have to study other ESPON reports as well in order to capitalise fully on the European information available for the cross-border programming.</w:t>
      </w:r>
    </w:p>
    <w:tbl>
      <w:tblPr>
        <w:tblW w:w="836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CellMar>
          <w:left w:w="70" w:type="dxa"/>
          <w:right w:w="70" w:type="dxa"/>
        </w:tblCellMar>
        <w:tblLook w:val="04A0"/>
      </w:tblPr>
      <w:tblGrid>
        <w:gridCol w:w="1276"/>
        <w:gridCol w:w="1418"/>
        <w:gridCol w:w="5670"/>
      </w:tblGrid>
      <w:tr w:rsidR="0044062C" w:rsidRPr="00A0472D" w:rsidTr="00782BA1">
        <w:trPr>
          <w:trHeight w:val="203"/>
        </w:trPr>
        <w:tc>
          <w:tcPr>
            <w:tcW w:w="1276" w:type="dxa"/>
            <w:shd w:val="clear" w:color="auto" w:fill="auto"/>
          </w:tcPr>
          <w:p w:rsidR="0044062C" w:rsidRPr="00A0472D" w:rsidRDefault="0044062C" w:rsidP="00782BA1">
            <w:pPr>
              <w:spacing w:after="0" w:line="20" w:lineRule="atLeast"/>
              <w:rPr>
                <w:b/>
                <w:sz w:val="18"/>
                <w:szCs w:val="18"/>
              </w:rPr>
            </w:pPr>
            <w:r w:rsidRPr="00A0472D">
              <w:rPr>
                <w:b/>
                <w:sz w:val="18"/>
                <w:szCs w:val="18"/>
              </w:rPr>
              <w:t>ESPON study</w:t>
            </w:r>
          </w:p>
        </w:tc>
        <w:tc>
          <w:tcPr>
            <w:tcW w:w="1418" w:type="dxa"/>
            <w:shd w:val="clear" w:color="auto" w:fill="auto"/>
          </w:tcPr>
          <w:p w:rsidR="0044062C" w:rsidRPr="00A0472D" w:rsidRDefault="0044062C" w:rsidP="00782BA1">
            <w:pPr>
              <w:spacing w:after="0" w:line="20" w:lineRule="atLeast"/>
              <w:rPr>
                <w:b/>
                <w:sz w:val="18"/>
                <w:szCs w:val="18"/>
              </w:rPr>
            </w:pPr>
            <w:r w:rsidRPr="00A0472D">
              <w:rPr>
                <w:b/>
                <w:sz w:val="18"/>
                <w:szCs w:val="18"/>
              </w:rPr>
              <w:t>Topic</w:t>
            </w:r>
          </w:p>
        </w:tc>
        <w:tc>
          <w:tcPr>
            <w:tcW w:w="5670" w:type="dxa"/>
            <w:shd w:val="clear" w:color="auto" w:fill="auto"/>
          </w:tcPr>
          <w:p w:rsidR="0044062C" w:rsidRPr="00A0472D" w:rsidRDefault="0044062C" w:rsidP="00782BA1">
            <w:pPr>
              <w:spacing w:after="0" w:line="20" w:lineRule="atLeast"/>
              <w:rPr>
                <w:b/>
                <w:sz w:val="18"/>
                <w:szCs w:val="18"/>
              </w:rPr>
            </w:pPr>
            <w:r w:rsidRPr="00A0472D">
              <w:rPr>
                <w:b/>
                <w:sz w:val="18"/>
                <w:szCs w:val="18"/>
              </w:rPr>
              <w:t>Content</w:t>
            </w:r>
          </w:p>
        </w:tc>
      </w:tr>
      <w:tr w:rsidR="0044062C" w:rsidRPr="00A0472D" w:rsidTr="00782BA1">
        <w:trPr>
          <w:trHeight w:val="274"/>
        </w:trPr>
        <w:tc>
          <w:tcPr>
            <w:tcW w:w="1276" w:type="dxa"/>
            <w:shd w:val="clear" w:color="auto" w:fill="FFFFFF" w:themeFill="background1"/>
          </w:tcPr>
          <w:p w:rsidR="0044062C" w:rsidRPr="00A0472D" w:rsidRDefault="0044062C" w:rsidP="00782BA1">
            <w:pPr>
              <w:spacing w:after="0" w:line="20" w:lineRule="atLeast"/>
              <w:jc w:val="left"/>
              <w:rPr>
                <w:rFonts w:cs="Calibri"/>
                <w:sz w:val="18"/>
                <w:szCs w:val="18"/>
                <w:lang w:eastAsia="fr-FR"/>
              </w:rPr>
            </w:pPr>
            <w:r w:rsidRPr="00A0472D">
              <w:rPr>
                <w:rFonts w:cs="Calibri"/>
                <w:sz w:val="18"/>
                <w:szCs w:val="18"/>
                <w:lang w:eastAsia="fr-FR"/>
              </w:rPr>
              <w:t xml:space="preserve">EDORA </w:t>
            </w:r>
          </w:p>
        </w:tc>
        <w:tc>
          <w:tcPr>
            <w:tcW w:w="1418" w:type="dxa"/>
            <w:shd w:val="clear" w:color="auto" w:fill="FFFFFF" w:themeFill="background1"/>
          </w:tcPr>
          <w:p w:rsidR="0044062C" w:rsidRPr="00A0472D" w:rsidRDefault="0044062C" w:rsidP="00782BA1">
            <w:pPr>
              <w:spacing w:after="0" w:line="20" w:lineRule="atLeast"/>
              <w:rPr>
                <w:rFonts w:cs="Calibri"/>
                <w:sz w:val="18"/>
                <w:szCs w:val="18"/>
                <w:lang w:eastAsia="fr-FR"/>
              </w:rPr>
            </w:pPr>
            <w:r w:rsidRPr="00A0472D">
              <w:rPr>
                <w:rFonts w:cs="Calibri"/>
                <w:sz w:val="18"/>
                <w:szCs w:val="18"/>
                <w:lang w:eastAsia="fr-FR"/>
              </w:rPr>
              <w:t>Rural areas</w:t>
            </w:r>
          </w:p>
        </w:tc>
        <w:tc>
          <w:tcPr>
            <w:tcW w:w="5670" w:type="dxa"/>
            <w:shd w:val="clear" w:color="auto" w:fill="FFFFFF" w:themeFill="background1"/>
          </w:tcPr>
          <w:p w:rsidR="0044062C" w:rsidRPr="00A0472D" w:rsidRDefault="0044062C" w:rsidP="00782BA1">
            <w:pPr>
              <w:spacing w:after="0" w:line="20" w:lineRule="atLeast"/>
              <w:rPr>
                <w:rFonts w:cs="Calibri"/>
                <w:sz w:val="18"/>
                <w:szCs w:val="18"/>
                <w:lang w:eastAsia="fr-FR"/>
              </w:rPr>
            </w:pPr>
            <w:r w:rsidRPr="00A0472D">
              <w:rPr>
                <w:rFonts w:cs="Calibri"/>
                <w:sz w:val="18"/>
                <w:szCs w:val="18"/>
                <w:lang w:eastAsia="fr-FR"/>
              </w:rPr>
              <w:t xml:space="preserve">It provides evidence on the development opportunities of diverse types of European rural areas and reveals </w:t>
            </w:r>
            <w:r>
              <w:rPr>
                <w:rFonts w:cs="Calibri"/>
                <w:sz w:val="18"/>
                <w:szCs w:val="18"/>
                <w:lang w:eastAsia="fr-FR"/>
              </w:rPr>
              <w:t xml:space="preserve">competitiveness </w:t>
            </w:r>
            <w:r w:rsidRPr="00A0472D">
              <w:rPr>
                <w:rFonts w:cs="Calibri"/>
                <w:sz w:val="18"/>
                <w:szCs w:val="18"/>
                <w:lang w:eastAsia="fr-FR"/>
              </w:rPr>
              <w:t>options</w:t>
            </w:r>
            <w:r>
              <w:rPr>
                <w:rFonts w:cs="Calibri"/>
                <w:sz w:val="18"/>
                <w:szCs w:val="18"/>
                <w:lang w:eastAsia="fr-FR"/>
              </w:rPr>
              <w:t xml:space="preserve"> (see maps in</w:t>
            </w:r>
            <w:r w:rsidRPr="00A0472D">
              <w:rPr>
                <w:rFonts w:cs="Calibri"/>
                <w:sz w:val="18"/>
                <w:szCs w:val="18"/>
                <w:lang w:eastAsia="fr-FR"/>
              </w:rPr>
              <w:t xml:space="preserve"> Appendix 1</w:t>
            </w:r>
            <w:r>
              <w:rPr>
                <w:rFonts w:cs="Calibri"/>
                <w:sz w:val="18"/>
                <w:szCs w:val="18"/>
                <w:lang w:eastAsia="fr-FR"/>
              </w:rPr>
              <w:t>).</w:t>
            </w:r>
          </w:p>
        </w:tc>
      </w:tr>
      <w:tr w:rsidR="0044062C" w:rsidRPr="00A0472D" w:rsidTr="00782BA1">
        <w:trPr>
          <w:trHeight w:val="274"/>
        </w:trPr>
        <w:tc>
          <w:tcPr>
            <w:tcW w:w="1276" w:type="dxa"/>
            <w:shd w:val="clear" w:color="auto" w:fill="FFFFFF" w:themeFill="background1"/>
          </w:tcPr>
          <w:p w:rsidR="0044062C" w:rsidRPr="00A0472D" w:rsidRDefault="0044062C" w:rsidP="00782BA1">
            <w:pPr>
              <w:spacing w:after="0" w:line="20" w:lineRule="atLeast"/>
              <w:jc w:val="left"/>
              <w:rPr>
                <w:rFonts w:cs="Calibri"/>
                <w:sz w:val="18"/>
                <w:szCs w:val="18"/>
                <w:highlight w:val="yellow"/>
                <w:lang w:eastAsia="fr-FR"/>
              </w:rPr>
            </w:pPr>
            <w:r w:rsidRPr="00A0472D">
              <w:rPr>
                <w:rFonts w:cs="Calibri"/>
                <w:sz w:val="18"/>
                <w:szCs w:val="18"/>
                <w:lang w:eastAsia="fr-FR"/>
              </w:rPr>
              <w:t>CLIMATE</w:t>
            </w:r>
          </w:p>
        </w:tc>
        <w:tc>
          <w:tcPr>
            <w:tcW w:w="1418" w:type="dxa"/>
            <w:shd w:val="clear" w:color="auto" w:fill="FFFFFF" w:themeFill="background1"/>
          </w:tcPr>
          <w:p w:rsidR="0044062C" w:rsidRPr="00A0472D" w:rsidRDefault="0044062C" w:rsidP="00782BA1">
            <w:pPr>
              <w:spacing w:after="0" w:line="20" w:lineRule="atLeast"/>
              <w:rPr>
                <w:rFonts w:cs="Calibri"/>
                <w:sz w:val="18"/>
                <w:szCs w:val="18"/>
                <w:highlight w:val="yellow"/>
                <w:lang w:eastAsia="fr-FR"/>
              </w:rPr>
            </w:pPr>
            <w:r w:rsidRPr="00A0472D">
              <w:rPr>
                <w:rFonts w:cs="Calibri"/>
                <w:sz w:val="18"/>
                <w:szCs w:val="18"/>
                <w:lang w:eastAsia="fr-FR"/>
              </w:rPr>
              <w:t>Climate change</w:t>
            </w:r>
          </w:p>
        </w:tc>
        <w:tc>
          <w:tcPr>
            <w:tcW w:w="5670" w:type="dxa"/>
            <w:shd w:val="clear" w:color="auto" w:fill="FFFFFF" w:themeFill="background1"/>
          </w:tcPr>
          <w:p w:rsidR="0044062C" w:rsidRPr="00A0472D" w:rsidRDefault="0044062C" w:rsidP="00782BA1">
            <w:pPr>
              <w:spacing w:after="0" w:line="20" w:lineRule="atLeast"/>
              <w:rPr>
                <w:rFonts w:cs="Calibri"/>
                <w:sz w:val="18"/>
                <w:szCs w:val="18"/>
                <w:highlight w:val="yellow"/>
                <w:lang w:eastAsia="fr-FR"/>
              </w:rPr>
            </w:pPr>
            <w:r w:rsidRPr="00A0472D">
              <w:rPr>
                <w:rFonts w:cs="Calibri"/>
                <w:sz w:val="18"/>
                <w:szCs w:val="18"/>
                <w:lang w:eastAsia="fr-FR"/>
              </w:rPr>
              <w:t>It analyses how and to which degree climate change will impact on the competitiveness and cohesion of European regions and Europe as a whole</w:t>
            </w:r>
            <w:r>
              <w:rPr>
                <w:rFonts w:cs="Calibri"/>
                <w:sz w:val="18"/>
                <w:szCs w:val="18"/>
                <w:lang w:eastAsia="fr-FR"/>
              </w:rPr>
              <w:t xml:space="preserve"> </w:t>
            </w:r>
            <w:r w:rsidRPr="00A0472D">
              <w:rPr>
                <w:rFonts w:cs="Calibri"/>
                <w:sz w:val="18"/>
                <w:szCs w:val="18"/>
                <w:lang w:eastAsia="fr-FR"/>
              </w:rPr>
              <w:t>(see from map 1 to 23).</w:t>
            </w:r>
          </w:p>
        </w:tc>
      </w:tr>
      <w:tr w:rsidR="0044062C" w:rsidRPr="00A0472D" w:rsidTr="00782BA1">
        <w:trPr>
          <w:trHeight w:val="274"/>
        </w:trPr>
        <w:tc>
          <w:tcPr>
            <w:tcW w:w="1276" w:type="dxa"/>
            <w:shd w:val="clear" w:color="auto" w:fill="FFFFFF" w:themeFill="background1"/>
          </w:tcPr>
          <w:p w:rsidR="0044062C" w:rsidRPr="00A0472D" w:rsidRDefault="0044062C" w:rsidP="00782BA1">
            <w:pPr>
              <w:spacing w:after="0" w:line="20" w:lineRule="atLeast"/>
              <w:jc w:val="left"/>
              <w:rPr>
                <w:sz w:val="18"/>
                <w:szCs w:val="18"/>
              </w:rPr>
            </w:pPr>
            <w:r w:rsidRPr="00A0472D">
              <w:rPr>
                <w:sz w:val="18"/>
                <w:szCs w:val="18"/>
              </w:rPr>
              <w:t>TIPTAP</w:t>
            </w:r>
          </w:p>
        </w:tc>
        <w:tc>
          <w:tcPr>
            <w:tcW w:w="1418" w:type="dxa"/>
            <w:shd w:val="clear" w:color="auto" w:fill="FFFFFF" w:themeFill="background1"/>
          </w:tcPr>
          <w:p w:rsidR="0044062C" w:rsidRPr="00A0472D" w:rsidRDefault="0044062C" w:rsidP="00782BA1">
            <w:pPr>
              <w:spacing w:after="0" w:line="20" w:lineRule="atLeast"/>
              <w:rPr>
                <w:sz w:val="18"/>
                <w:szCs w:val="18"/>
              </w:rPr>
            </w:pPr>
            <w:r w:rsidRPr="00A0472D">
              <w:rPr>
                <w:sz w:val="18"/>
                <w:szCs w:val="18"/>
              </w:rPr>
              <w:t>Territorial impact assessment</w:t>
            </w:r>
          </w:p>
        </w:tc>
        <w:tc>
          <w:tcPr>
            <w:tcW w:w="5670" w:type="dxa"/>
            <w:shd w:val="clear" w:color="auto" w:fill="FFFFFF" w:themeFill="background1"/>
          </w:tcPr>
          <w:p w:rsidR="0044062C" w:rsidRPr="00A0472D" w:rsidRDefault="0044062C" w:rsidP="00782BA1">
            <w:pPr>
              <w:spacing w:after="0" w:line="20" w:lineRule="atLeast"/>
              <w:rPr>
                <w:sz w:val="18"/>
                <w:szCs w:val="18"/>
              </w:rPr>
            </w:pPr>
            <w:r w:rsidRPr="00A0472D">
              <w:rPr>
                <w:sz w:val="18"/>
                <w:szCs w:val="18"/>
              </w:rPr>
              <w:t xml:space="preserve">It provides a tool for the ex-ante assessment of territorial impacts of policies to deliver evidence on the territorial impact of policies (see from </w:t>
            </w:r>
            <w:r>
              <w:rPr>
                <w:sz w:val="18"/>
                <w:szCs w:val="18"/>
              </w:rPr>
              <w:t>m</w:t>
            </w:r>
            <w:r w:rsidRPr="00A0472D">
              <w:rPr>
                <w:sz w:val="18"/>
                <w:szCs w:val="18"/>
              </w:rPr>
              <w:t xml:space="preserve">ap 2.3.1 to 2.3.9). </w:t>
            </w:r>
          </w:p>
        </w:tc>
      </w:tr>
      <w:tr w:rsidR="0044062C" w:rsidRPr="00A0472D" w:rsidTr="00782BA1">
        <w:trPr>
          <w:trHeight w:val="274"/>
        </w:trPr>
        <w:tc>
          <w:tcPr>
            <w:tcW w:w="1276" w:type="dxa"/>
            <w:shd w:val="clear" w:color="auto" w:fill="FFFFFF" w:themeFill="background1"/>
          </w:tcPr>
          <w:p w:rsidR="0044062C" w:rsidRPr="00A0472D" w:rsidRDefault="0044062C" w:rsidP="00782BA1">
            <w:pPr>
              <w:spacing w:after="0" w:line="20" w:lineRule="atLeast"/>
              <w:jc w:val="left"/>
              <w:rPr>
                <w:rFonts w:cs="Calibri"/>
                <w:sz w:val="18"/>
                <w:szCs w:val="18"/>
                <w:lang w:eastAsia="fr-FR"/>
              </w:rPr>
            </w:pPr>
            <w:r w:rsidRPr="00A0472D">
              <w:rPr>
                <w:rFonts w:cs="Calibri"/>
                <w:sz w:val="18"/>
                <w:szCs w:val="18"/>
                <w:lang w:eastAsia="fr-FR"/>
              </w:rPr>
              <w:t xml:space="preserve">CAEE </w:t>
            </w:r>
          </w:p>
        </w:tc>
        <w:tc>
          <w:tcPr>
            <w:tcW w:w="1418" w:type="dxa"/>
            <w:shd w:val="clear" w:color="auto" w:fill="FFFFFF" w:themeFill="background1"/>
          </w:tcPr>
          <w:p w:rsidR="0044062C" w:rsidRPr="00A0472D" w:rsidRDefault="0044062C" w:rsidP="00782BA1">
            <w:pPr>
              <w:spacing w:after="0" w:line="20" w:lineRule="atLeast"/>
              <w:rPr>
                <w:rFonts w:cs="Calibri"/>
                <w:sz w:val="18"/>
                <w:szCs w:val="18"/>
                <w:lang w:eastAsia="fr-FR"/>
              </w:rPr>
            </w:pPr>
            <w:r w:rsidRPr="00A0472D">
              <w:rPr>
                <w:rFonts w:cs="Calibri"/>
                <w:sz w:val="18"/>
                <w:szCs w:val="18"/>
                <w:lang w:eastAsia="fr-FR"/>
              </w:rPr>
              <w:t>Agglomerati</w:t>
            </w:r>
            <w:r>
              <w:rPr>
                <w:rFonts w:cs="Calibri"/>
                <w:sz w:val="18"/>
                <w:szCs w:val="18"/>
                <w:lang w:eastAsia="fr-FR"/>
              </w:rPr>
              <w:t>-</w:t>
            </w:r>
            <w:r w:rsidRPr="00A0472D">
              <w:rPr>
                <w:rFonts w:cs="Calibri"/>
                <w:sz w:val="18"/>
                <w:szCs w:val="18"/>
                <w:lang w:eastAsia="fr-FR"/>
              </w:rPr>
              <w:t>on economies</w:t>
            </w:r>
          </w:p>
        </w:tc>
        <w:tc>
          <w:tcPr>
            <w:tcW w:w="5670" w:type="dxa"/>
            <w:shd w:val="clear" w:color="auto" w:fill="FFFFFF" w:themeFill="background1"/>
          </w:tcPr>
          <w:p w:rsidR="0044062C" w:rsidRPr="00A0472D" w:rsidRDefault="0044062C" w:rsidP="00782BA1">
            <w:pPr>
              <w:spacing w:after="0" w:line="20" w:lineRule="atLeast"/>
              <w:rPr>
                <w:rFonts w:cs="Calibri"/>
                <w:sz w:val="18"/>
                <w:szCs w:val="18"/>
                <w:lang w:eastAsia="fr-FR"/>
              </w:rPr>
            </w:pPr>
            <w:r w:rsidRPr="00A0472D">
              <w:rPr>
                <w:rFonts w:cs="Calibri"/>
                <w:sz w:val="18"/>
                <w:szCs w:val="18"/>
                <w:lang w:eastAsia="fr-FR"/>
              </w:rPr>
              <w:t xml:space="preserve">It aims at a better understanding of the economic costs and benefits of large urban agglomerations (see </w:t>
            </w:r>
            <w:r>
              <w:rPr>
                <w:rFonts w:cs="Calibri"/>
                <w:sz w:val="18"/>
                <w:szCs w:val="18"/>
                <w:lang w:eastAsia="fr-FR"/>
              </w:rPr>
              <w:t xml:space="preserve">figure </w:t>
            </w:r>
            <w:r w:rsidRPr="00A0472D">
              <w:rPr>
                <w:rFonts w:cs="Calibri"/>
                <w:sz w:val="18"/>
                <w:szCs w:val="18"/>
                <w:lang w:eastAsia="fr-FR"/>
              </w:rPr>
              <w:t xml:space="preserve">1). </w:t>
            </w:r>
          </w:p>
        </w:tc>
      </w:tr>
      <w:tr w:rsidR="0044062C" w:rsidRPr="00A0472D" w:rsidTr="00782BA1">
        <w:trPr>
          <w:trHeight w:val="274"/>
        </w:trPr>
        <w:tc>
          <w:tcPr>
            <w:tcW w:w="1276" w:type="dxa"/>
            <w:shd w:val="clear" w:color="auto" w:fill="FFFFFF" w:themeFill="background1"/>
          </w:tcPr>
          <w:p w:rsidR="0044062C" w:rsidRPr="00A0472D" w:rsidRDefault="0044062C" w:rsidP="00782BA1">
            <w:pPr>
              <w:spacing w:after="0" w:line="20" w:lineRule="atLeast"/>
              <w:rPr>
                <w:rFonts w:cs="Calibri"/>
                <w:sz w:val="18"/>
                <w:szCs w:val="18"/>
                <w:lang w:eastAsia="fr-FR"/>
              </w:rPr>
            </w:pPr>
            <w:r w:rsidRPr="00A0472D">
              <w:rPr>
                <w:rFonts w:cs="Calibri"/>
                <w:sz w:val="18"/>
                <w:szCs w:val="18"/>
                <w:lang w:eastAsia="fr-FR"/>
              </w:rPr>
              <w:t xml:space="preserve">TRANSMEC </w:t>
            </w:r>
          </w:p>
        </w:tc>
        <w:tc>
          <w:tcPr>
            <w:tcW w:w="1418" w:type="dxa"/>
            <w:shd w:val="clear" w:color="auto" w:fill="FFFFFF" w:themeFill="background1"/>
          </w:tcPr>
          <w:p w:rsidR="0044062C" w:rsidRPr="00A0472D" w:rsidRDefault="0044062C" w:rsidP="00782BA1">
            <w:pPr>
              <w:spacing w:after="0" w:line="20" w:lineRule="atLeast"/>
              <w:rPr>
                <w:rFonts w:cs="Calibri"/>
                <w:sz w:val="18"/>
                <w:szCs w:val="18"/>
                <w:lang w:eastAsia="fr-FR"/>
              </w:rPr>
            </w:pPr>
            <w:r w:rsidRPr="00A0472D">
              <w:rPr>
                <w:rFonts w:cs="Calibri"/>
                <w:sz w:val="18"/>
                <w:szCs w:val="18"/>
                <w:lang w:eastAsia="fr-FR"/>
              </w:rPr>
              <w:t>European cooperation</w:t>
            </w:r>
          </w:p>
        </w:tc>
        <w:tc>
          <w:tcPr>
            <w:tcW w:w="5670" w:type="dxa"/>
            <w:shd w:val="clear" w:color="auto" w:fill="FFFFFF" w:themeFill="background1"/>
          </w:tcPr>
          <w:p w:rsidR="0044062C" w:rsidRPr="00A0472D" w:rsidRDefault="0044062C" w:rsidP="00782BA1">
            <w:pPr>
              <w:spacing w:after="0" w:line="20" w:lineRule="atLeast"/>
              <w:rPr>
                <w:rFonts w:cs="Calibri"/>
                <w:sz w:val="18"/>
                <w:szCs w:val="18"/>
                <w:lang w:eastAsia="fr-FR"/>
              </w:rPr>
            </w:pPr>
            <w:r w:rsidRPr="00A0472D">
              <w:rPr>
                <w:rFonts w:cs="Calibri"/>
                <w:sz w:val="18"/>
                <w:szCs w:val="18"/>
                <w:lang w:eastAsia="fr-FR"/>
              </w:rPr>
              <w:t xml:space="preserve">It develops a method providing guidance on how ESPON results can add value to support territorial cooperation programmes (see map 27 and from map 36 to 39). </w:t>
            </w:r>
          </w:p>
        </w:tc>
      </w:tr>
      <w:tr w:rsidR="0044062C" w:rsidRPr="00A0472D" w:rsidTr="00782BA1">
        <w:trPr>
          <w:trHeight w:val="274"/>
        </w:trPr>
        <w:tc>
          <w:tcPr>
            <w:tcW w:w="1276" w:type="dxa"/>
            <w:tcBorders>
              <w:bottom w:val="single" w:sz="4" w:space="0" w:color="auto"/>
            </w:tcBorders>
            <w:shd w:val="clear" w:color="auto" w:fill="FFFFFF" w:themeFill="background1"/>
          </w:tcPr>
          <w:p w:rsidR="0044062C" w:rsidRPr="00A0472D" w:rsidRDefault="0044062C" w:rsidP="00782BA1">
            <w:pPr>
              <w:spacing w:after="0" w:line="20" w:lineRule="atLeast"/>
              <w:rPr>
                <w:sz w:val="18"/>
                <w:szCs w:val="18"/>
              </w:rPr>
            </w:pPr>
            <w:r w:rsidRPr="00A0472D">
              <w:rPr>
                <w:sz w:val="18"/>
                <w:szCs w:val="18"/>
              </w:rPr>
              <w:t xml:space="preserve">SEMIGRA </w:t>
            </w:r>
          </w:p>
        </w:tc>
        <w:tc>
          <w:tcPr>
            <w:tcW w:w="1418" w:type="dxa"/>
            <w:tcBorders>
              <w:bottom w:val="single" w:sz="4" w:space="0" w:color="auto"/>
            </w:tcBorders>
            <w:shd w:val="clear" w:color="auto" w:fill="FFFFFF" w:themeFill="background1"/>
          </w:tcPr>
          <w:p w:rsidR="0044062C" w:rsidRPr="00A0472D" w:rsidRDefault="0044062C" w:rsidP="00782BA1">
            <w:pPr>
              <w:spacing w:after="0" w:line="20" w:lineRule="atLeast"/>
              <w:rPr>
                <w:sz w:val="18"/>
                <w:szCs w:val="18"/>
              </w:rPr>
            </w:pPr>
            <w:r w:rsidRPr="00A0472D">
              <w:rPr>
                <w:sz w:val="18"/>
                <w:szCs w:val="18"/>
              </w:rPr>
              <w:t>Rural migration</w:t>
            </w:r>
          </w:p>
        </w:tc>
        <w:tc>
          <w:tcPr>
            <w:tcW w:w="5670" w:type="dxa"/>
            <w:tcBorders>
              <w:bottom w:val="single" w:sz="4" w:space="0" w:color="auto"/>
            </w:tcBorders>
            <w:shd w:val="clear" w:color="auto" w:fill="FFFFFF" w:themeFill="background1"/>
          </w:tcPr>
          <w:p w:rsidR="0044062C" w:rsidRPr="00A0472D" w:rsidRDefault="0044062C" w:rsidP="00782BA1">
            <w:pPr>
              <w:spacing w:after="0" w:line="20" w:lineRule="atLeast"/>
              <w:rPr>
                <w:sz w:val="18"/>
                <w:szCs w:val="18"/>
              </w:rPr>
            </w:pPr>
            <w:r w:rsidRPr="00A0472D">
              <w:rPr>
                <w:sz w:val="18"/>
                <w:szCs w:val="18"/>
              </w:rPr>
              <w:t>It identifies the main reasons and consequences of selective migration in rural regions</w:t>
            </w:r>
            <w:r>
              <w:rPr>
                <w:sz w:val="18"/>
                <w:szCs w:val="18"/>
              </w:rPr>
              <w:t xml:space="preserve"> in order</w:t>
            </w:r>
            <w:r w:rsidRPr="00A0472D">
              <w:rPr>
                <w:sz w:val="18"/>
                <w:szCs w:val="18"/>
              </w:rPr>
              <w:t xml:space="preserve"> to develop strategies for territorial development (see map 1, 4 and 5).</w:t>
            </w:r>
          </w:p>
        </w:tc>
      </w:tr>
      <w:tr w:rsidR="0044062C" w:rsidRPr="00A0472D" w:rsidTr="00782BA1">
        <w:trPr>
          <w:trHeight w:val="274"/>
        </w:trPr>
        <w:tc>
          <w:tcPr>
            <w:tcW w:w="1276" w:type="dxa"/>
            <w:shd w:val="clear" w:color="auto" w:fill="FFFFFF" w:themeFill="background1"/>
          </w:tcPr>
          <w:p w:rsidR="0044062C" w:rsidRPr="008152C4" w:rsidRDefault="0044062C" w:rsidP="00782BA1">
            <w:pPr>
              <w:spacing w:after="0" w:line="20" w:lineRule="atLeast"/>
              <w:rPr>
                <w:sz w:val="18"/>
                <w:szCs w:val="18"/>
              </w:rPr>
            </w:pPr>
            <w:r>
              <w:rPr>
                <w:sz w:val="18"/>
                <w:szCs w:val="18"/>
              </w:rPr>
              <w:t>KIT</w:t>
            </w:r>
          </w:p>
        </w:tc>
        <w:tc>
          <w:tcPr>
            <w:tcW w:w="1418" w:type="dxa"/>
            <w:shd w:val="clear" w:color="auto" w:fill="FFFFFF" w:themeFill="background1"/>
          </w:tcPr>
          <w:p w:rsidR="0044062C" w:rsidRPr="008152C4" w:rsidRDefault="0044062C" w:rsidP="00782BA1">
            <w:pPr>
              <w:spacing w:after="0" w:line="20" w:lineRule="atLeast"/>
              <w:rPr>
                <w:sz w:val="18"/>
                <w:szCs w:val="18"/>
              </w:rPr>
            </w:pPr>
            <w:r w:rsidRPr="008152C4">
              <w:rPr>
                <w:sz w:val="18"/>
                <w:szCs w:val="18"/>
              </w:rPr>
              <w:t>Innovation</w:t>
            </w:r>
          </w:p>
        </w:tc>
        <w:tc>
          <w:tcPr>
            <w:tcW w:w="5670" w:type="dxa"/>
            <w:shd w:val="clear" w:color="auto" w:fill="FFFFFF" w:themeFill="background1"/>
          </w:tcPr>
          <w:p w:rsidR="0044062C" w:rsidRPr="008152C4" w:rsidRDefault="0044062C" w:rsidP="00782BA1">
            <w:pPr>
              <w:spacing w:after="0" w:line="20" w:lineRule="atLeast"/>
              <w:rPr>
                <w:rFonts w:cs="Calibri"/>
                <w:color w:val="000000"/>
                <w:sz w:val="18"/>
                <w:szCs w:val="18"/>
                <w:lang w:eastAsia="fr-FR"/>
              </w:rPr>
            </w:pPr>
            <w:r w:rsidRPr="00753DF0">
              <w:rPr>
                <w:rFonts w:cs="Calibri"/>
                <w:color w:val="000000"/>
                <w:sz w:val="18"/>
                <w:szCs w:val="18"/>
                <w:lang w:eastAsia="fr-FR"/>
              </w:rPr>
              <w:t xml:space="preserve">It </w:t>
            </w:r>
            <w:r>
              <w:rPr>
                <w:rFonts w:cs="Calibri"/>
                <w:color w:val="000000"/>
                <w:sz w:val="18"/>
                <w:szCs w:val="18"/>
                <w:lang w:eastAsia="fr-FR"/>
              </w:rPr>
              <w:t xml:space="preserve">describes </w:t>
            </w:r>
            <w:r w:rsidRPr="00753DF0">
              <w:rPr>
                <w:rFonts w:cs="Calibri"/>
                <w:color w:val="000000"/>
                <w:sz w:val="18"/>
                <w:szCs w:val="18"/>
                <w:lang w:eastAsia="fr-FR"/>
              </w:rPr>
              <w:t xml:space="preserve">patterns and potentials of regions </w:t>
            </w:r>
            <w:r>
              <w:rPr>
                <w:rFonts w:cs="Calibri"/>
                <w:color w:val="000000"/>
                <w:sz w:val="18"/>
                <w:szCs w:val="18"/>
                <w:lang w:eastAsia="fr-FR"/>
              </w:rPr>
              <w:t>in terms of</w:t>
            </w:r>
            <w:r w:rsidRPr="00753DF0">
              <w:rPr>
                <w:rFonts w:cs="Calibri"/>
                <w:color w:val="000000"/>
                <w:sz w:val="18"/>
                <w:szCs w:val="18"/>
                <w:lang w:eastAsia="fr-FR"/>
              </w:rPr>
              <w:t xml:space="preserve"> knowledge and innovation economy</w:t>
            </w:r>
            <w:r>
              <w:rPr>
                <w:rFonts w:cs="Calibri"/>
                <w:color w:val="000000"/>
                <w:sz w:val="18"/>
                <w:szCs w:val="18"/>
                <w:lang w:eastAsia="fr-FR"/>
              </w:rPr>
              <w:t xml:space="preserve"> and explores</w:t>
            </w:r>
            <w:r w:rsidRPr="00753DF0">
              <w:rPr>
                <w:rFonts w:cs="Calibri"/>
                <w:color w:val="000000"/>
                <w:sz w:val="18"/>
                <w:szCs w:val="18"/>
                <w:lang w:eastAsia="fr-FR"/>
              </w:rPr>
              <w:t xml:space="preserve"> development opportunities </w:t>
            </w:r>
            <w:r>
              <w:rPr>
                <w:rFonts w:cs="Calibri"/>
                <w:color w:val="000000"/>
                <w:sz w:val="18"/>
                <w:szCs w:val="18"/>
                <w:lang w:eastAsia="fr-FR"/>
              </w:rPr>
              <w:t xml:space="preserve">(see </w:t>
            </w:r>
            <w:r w:rsidRPr="008152C4">
              <w:rPr>
                <w:rFonts w:cs="Calibri"/>
                <w:color w:val="000000"/>
                <w:sz w:val="18"/>
                <w:szCs w:val="18"/>
                <w:lang w:eastAsia="fr-FR"/>
              </w:rPr>
              <w:t xml:space="preserve">from </w:t>
            </w:r>
            <w:r>
              <w:rPr>
                <w:rFonts w:cs="Calibri"/>
                <w:color w:val="000000"/>
                <w:sz w:val="18"/>
                <w:szCs w:val="18"/>
                <w:lang w:eastAsia="fr-FR"/>
              </w:rPr>
              <w:t>m</w:t>
            </w:r>
            <w:r w:rsidRPr="008152C4">
              <w:rPr>
                <w:rFonts w:cs="Calibri"/>
                <w:color w:val="000000"/>
                <w:sz w:val="18"/>
                <w:szCs w:val="18"/>
                <w:lang w:eastAsia="fr-FR"/>
              </w:rPr>
              <w:t>ap 3.1.1 to 4.4.1)</w:t>
            </w:r>
            <w:r>
              <w:rPr>
                <w:rFonts w:cs="Calibri"/>
                <w:color w:val="000000"/>
                <w:sz w:val="18"/>
                <w:szCs w:val="18"/>
                <w:lang w:eastAsia="fr-FR"/>
              </w:rPr>
              <w:t xml:space="preserve">. </w:t>
            </w:r>
          </w:p>
        </w:tc>
      </w:tr>
      <w:tr w:rsidR="0044062C" w:rsidRPr="00A0472D" w:rsidTr="00782BA1">
        <w:trPr>
          <w:trHeight w:val="274"/>
        </w:trPr>
        <w:tc>
          <w:tcPr>
            <w:tcW w:w="1276" w:type="dxa"/>
            <w:shd w:val="clear" w:color="auto" w:fill="FFFFFF" w:themeFill="background1"/>
          </w:tcPr>
          <w:p w:rsidR="0044062C" w:rsidRPr="00A0472D" w:rsidRDefault="0044062C" w:rsidP="00782BA1">
            <w:pPr>
              <w:spacing w:after="0" w:line="20" w:lineRule="atLeast"/>
              <w:rPr>
                <w:sz w:val="18"/>
                <w:szCs w:val="18"/>
              </w:rPr>
            </w:pPr>
            <w:r w:rsidRPr="008152C4">
              <w:rPr>
                <w:sz w:val="18"/>
                <w:szCs w:val="18"/>
              </w:rPr>
              <w:t>SGPTD</w:t>
            </w:r>
          </w:p>
        </w:tc>
        <w:tc>
          <w:tcPr>
            <w:tcW w:w="1418" w:type="dxa"/>
            <w:shd w:val="clear" w:color="auto" w:fill="FFFFFF" w:themeFill="background1"/>
          </w:tcPr>
          <w:p w:rsidR="0044062C" w:rsidRPr="00A0472D" w:rsidRDefault="0044062C" w:rsidP="00782BA1">
            <w:pPr>
              <w:spacing w:after="0" w:line="20" w:lineRule="atLeast"/>
              <w:rPr>
                <w:sz w:val="18"/>
                <w:szCs w:val="18"/>
              </w:rPr>
            </w:pPr>
            <w:r w:rsidRPr="008152C4">
              <w:rPr>
                <w:sz w:val="18"/>
                <w:szCs w:val="18"/>
              </w:rPr>
              <w:t>Growth poles</w:t>
            </w:r>
          </w:p>
        </w:tc>
        <w:tc>
          <w:tcPr>
            <w:tcW w:w="5670" w:type="dxa"/>
            <w:shd w:val="clear" w:color="auto" w:fill="FFFFFF" w:themeFill="background1"/>
          </w:tcPr>
          <w:p w:rsidR="0044062C" w:rsidRPr="00A0472D" w:rsidRDefault="0044062C" w:rsidP="00782BA1">
            <w:pPr>
              <w:spacing w:after="0" w:line="20" w:lineRule="atLeast"/>
              <w:rPr>
                <w:sz w:val="18"/>
                <w:szCs w:val="18"/>
              </w:rPr>
            </w:pPr>
            <w:r w:rsidRPr="008152C4">
              <w:rPr>
                <w:sz w:val="18"/>
                <w:szCs w:val="18"/>
              </w:rPr>
              <w:t xml:space="preserve">It provides evidence </w:t>
            </w:r>
            <w:r>
              <w:rPr>
                <w:sz w:val="18"/>
                <w:szCs w:val="18"/>
              </w:rPr>
              <w:t xml:space="preserve">about </w:t>
            </w:r>
            <w:r w:rsidRPr="008152C4">
              <w:rPr>
                <w:sz w:val="18"/>
                <w:szCs w:val="18"/>
              </w:rPr>
              <w:t>performance and roles o</w:t>
            </w:r>
            <w:r>
              <w:rPr>
                <w:sz w:val="18"/>
                <w:szCs w:val="18"/>
              </w:rPr>
              <w:t>f European secondary cities (see from figure 2 to 2.12).</w:t>
            </w:r>
          </w:p>
        </w:tc>
      </w:tr>
      <w:tr w:rsidR="0044062C" w:rsidRPr="00A0472D" w:rsidTr="00782BA1">
        <w:trPr>
          <w:trHeight w:val="274"/>
        </w:trPr>
        <w:tc>
          <w:tcPr>
            <w:tcW w:w="1276" w:type="dxa"/>
            <w:shd w:val="clear" w:color="auto" w:fill="FFFFFF" w:themeFill="background1"/>
          </w:tcPr>
          <w:p w:rsidR="0044062C" w:rsidRPr="002E6E08" w:rsidRDefault="0044062C" w:rsidP="00782BA1">
            <w:pPr>
              <w:spacing w:after="0" w:line="20" w:lineRule="atLeast"/>
              <w:rPr>
                <w:sz w:val="18"/>
                <w:szCs w:val="18"/>
              </w:rPr>
            </w:pPr>
            <w:r w:rsidRPr="00837CE6">
              <w:rPr>
                <w:sz w:val="18"/>
                <w:szCs w:val="18"/>
              </w:rPr>
              <w:t>ULYSSES</w:t>
            </w:r>
          </w:p>
        </w:tc>
        <w:tc>
          <w:tcPr>
            <w:tcW w:w="1418" w:type="dxa"/>
            <w:shd w:val="clear" w:color="auto" w:fill="FFFFFF" w:themeFill="background1"/>
          </w:tcPr>
          <w:p w:rsidR="0044062C" w:rsidRPr="00837CE6" w:rsidRDefault="0044062C" w:rsidP="00782BA1">
            <w:pPr>
              <w:rPr>
                <w:sz w:val="18"/>
                <w:szCs w:val="18"/>
              </w:rPr>
            </w:pPr>
            <w:r w:rsidRPr="00837CE6">
              <w:rPr>
                <w:sz w:val="18"/>
                <w:szCs w:val="18"/>
              </w:rPr>
              <w:t>Cross-border development</w:t>
            </w:r>
          </w:p>
        </w:tc>
        <w:tc>
          <w:tcPr>
            <w:tcW w:w="5670" w:type="dxa"/>
            <w:shd w:val="clear" w:color="auto" w:fill="FFFFFF" w:themeFill="background1"/>
          </w:tcPr>
          <w:p w:rsidR="0044062C" w:rsidRDefault="0044062C" w:rsidP="00782BA1">
            <w:pPr>
              <w:spacing w:after="0" w:line="20" w:lineRule="atLeast"/>
              <w:rPr>
                <w:rFonts w:cs="Calibri"/>
                <w:sz w:val="18"/>
                <w:szCs w:val="20"/>
                <w:lang w:eastAsia="fr-FR"/>
              </w:rPr>
            </w:pPr>
            <w:r w:rsidRPr="00837CE6">
              <w:rPr>
                <w:rFonts w:cs="Calibri"/>
                <w:sz w:val="18"/>
                <w:szCs w:val="20"/>
                <w:lang w:eastAsia="fr-FR"/>
              </w:rPr>
              <w:t xml:space="preserve">It provides a “reference baseline” </w:t>
            </w:r>
            <w:r>
              <w:rPr>
                <w:rFonts w:cs="Calibri"/>
                <w:sz w:val="18"/>
                <w:szCs w:val="20"/>
                <w:lang w:eastAsia="fr-FR"/>
              </w:rPr>
              <w:t xml:space="preserve">for the </w:t>
            </w:r>
            <w:r w:rsidRPr="00837CE6">
              <w:rPr>
                <w:rFonts w:cs="Calibri"/>
                <w:sz w:val="18"/>
                <w:szCs w:val="20"/>
                <w:lang w:eastAsia="fr-FR"/>
              </w:rPr>
              <w:t xml:space="preserve">elaboration </w:t>
            </w:r>
            <w:r>
              <w:rPr>
                <w:rFonts w:cs="Calibri"/>
                <w:sz w:val="18"/>
                <w:szCs w:val="20"/>
                <w:lang w:eastAsia="fr-FR"/>
              </w:rPr>
              <w:t xml:space="preserve">of </w:t>
            </w:r>
            <w:r w:rsidRPr="00837CE6">
              <w:rPr>
                <w:rFonts w:cs="Calibri"/>
                <w:sz w:val="18"/>
                <w:szCs w:val="20"/>
                <w:lang w:eastAsia="fr-FR"/>
              </w:rPr>
              <w:t>cross-border spatial development</w:t>
            </w:r>
            <w:r>
              <w:rPr>
                <w:rFonts w:cs="Calibri"/>
                <w:sz w:val="18"/>
                <w:szCs w:val="20"/>
                <w:lang w:eastAsia="fr-FR"/>
              </w:rPr>
              <w:t xml:space="preserve"> and case studies at the German-Austrian border.</w:t>
            </w:r>
          </w:p>
        </w:tc>
      </w:tr>
      <w:tr w:rsidR="0044062C" w:rsidRPr="00A0472D" w:rsidTr="00782BA1">
        <w:trPr>
          <w:trHeight w:val="274"/>
        </w:trPr>
        <w:tc>
          <w:tcPr>
            <w:tcW w:w="1276" w:type="dxa"/>
            <w:shd w:val="clear" w:color="auto" w:fill="FFFFFF" w:themeFill="background1"/>
          </w:tcPr>
          <w:p w:rsidR="0044062C" w:rsidRPr="00A532E4" w:rsidRDefault="0044062C" w:rsidP="00782BA1">
            <w:pPr>
              <w:spacing w:after="0" w:line="20" w:lineRule="atLeast"/>
              <w:rPr>
                <w:sz w:val="18"/>
                <w:szCs w:val="18"/>
              </w:rPr>
            </w:pPr>
            <w:r w:rsidRPr="00302288">
              <w:rPr>
                <w:sz w:val="18"/>
                <w:szCs w:val="18"/>
              </w:rPr>
              <w:t>TRACC</w:t>
            </w:r>
          </w:p>
        </w:tc>
        <w:tc>
          <w:tcPr>
            <w:tcW w:w="1418" w:type="dxa"/>
            <w:shd w:val="clear" w:color="auto" w:fill="FFFFFF" w:themeFill="background1"/>
          </w:tcPr>
          <w:p w:rsidR="0044062C" w:rsidRPr="00A532E4" w:rsidRDefault="0044062C" w:rsidP="00782BA1">
            <w:pPr>
              <w:spacing w:after="0" w:line="20" w:lineRule="atLeast"/>
              <w:rPr>
                <w:sz w:val="18"/>
                <w:szCs w:val="18"/>
              </w:rPr>
            </w:pPr>
            <w:r w:rsidRPr="00302288">
              <w:rPr>
                <w:sz w:val="18"/>
                <w:szCs w:val="18"/>
              </w:rPr>
              <w:t>Transport accessibility</w:t>
            </w:r>
          </w:p>
        </w:tc>
        <w:tc>
          <w:tcPr>
            <w:tcW w:w="5670" w:type="dxa"/>
            <w:shd w:val="clear" w:color="auto" w:fill="FFFFFF" w:themeFill="background1"/>
          </w:tcPr>
          <w:p w:rsidR="0044062C" w:rsidRPr="0033165A" w:rsidRDefault="0044062C" w:rsidP="00782BA1">
            <w:pPr>
              <w:autoSpaceDE w:val="0"/>
              <w:autoSpaceDN w:val="0"/>
              <w:adjustRightInd w:val="0"/>
              <w:snapToGrid w:val="0"/>
              <w:spacing w:after="0" w:line="240" w:lineRule="auto"/>
              <w:rPr>
                <w:rFonts w:cs="Calibri"/>
                <w:sz w:val="18"/>
                <w:szCs w:val="20"/>
                <w:lang w:eastAsia="fr-FR"/>
              </w:rPr>
            </w:pPr>
            <w:r w:rsidRPr="0033165A">
              <w:rPr>
                <w:rFonts w:cs="Calibri"/>
                <w:sz w:val="18"/>
                <w:szCs w:val="20"/>
                <w:lang w:eastAsia="fr-FR"/>
              </w:rPr>
              <w:t>It delivers results to support the policy in the field of transport and accessibility.</w:t>
            </w:r>
            <w:r>
              <w:rPr>
                <w:rFonts w:cs="Calibri"/>
                <w:sz w:val="18"/>
                <w:szCs w:val="20"/>
                <w:lang w:eastAsia="fr-FR"/>
              </w:rPr>
              <w:t xml:space="preserve"> This project provides information on regions of Bavaria and Czech Republic.</w:t>
            </w:r>
          </w:p>
        </w:tc>
      </w:tr>
    </w:tbl>
    <w:p w:rsidR="0044062C" w:rsidRDefault="0044062C" w:rsidP="0044062C">
      <w:pPr>
        <w:spacing w:before="240"/>
      </w:pPr>
      <w:r>
        <w:t>Furthermore, some of overall ESPON products of particular interest for territorial cooperation are:</w:t>
      </w:r>
    </w:p>
    <w:p w:rsidR="0044062C" w:rsidRDefault="0044062C" w:rsidP="0044062C">
      <w:pPr>
        <w:pStyle w:val="ListParagraph"/>
        <w:numPr>
          <w:ilvl w:val="0"/>
          <w:numId w:val="4"/>
        </w:numPr>
      </w:pPr>
      <w:r w:rsidRPr="00112693">
        <w:rPr>
          <w:b/>
        </w:rPr>
        <w:t>ESPON Synthesis report</w:t>
      </w:r>
      <w:r>
        <w:t xml:space="preserve"> “new evidence on smart, sustainable and inclusive territories” provides an easy to read overview on ESPON results available. </w:t>
      </w:r>
    </w:p>
    <w:p w:rsidR="0044062C" w:rsidRDefault="0044062C" w:rsidP="0044062C">
      <w:pPr>
        <w:pStyle w:val="ListParagraph"/>
        <w:numPr>
          <w:ilvl w:val="0"/>
          <w:numId w:val="4"/>
        </w:numPr>
      </w:pPr>
      <w:r w:rsidRPr="00112693">
        <w:rPr>
          <w:b/>
        </w:rPr>
        <w:t>ESPON Territorial Observations</w:t>
      </w:r>
      <w:r>
        <w:t xml:space="preserve"> is a publication series, which on a few pages presents policy relevant findings deriving from latest ESPON research. </w:t>
      </w:r>
    </w:p>
    <w:p w:rsidR="0044062C" w:rsidRPr="00A33083" w:rsidRDefault="0044062C" w:rsidP="0044062C">
      <w:pPr>
        <w:pStyle w:val="ListParagraph"/>
        <w:numPr>
          <w:ilvl w:val="0"/>
          <w:numId w:val="4"/>
        </w:numPr>
      </w:pPr>
      <w:r w:rsidRPr="00112693">
        <w:rPr>
          <w:b/>
        </w:rPr>
        <w:t>ESPON 2013 Database</w:t>
      </w:r>
      <w:r w:rsidRPr="00A33083">
        <w:t xml:space="preserve"> provides regional information provided by </w:t>
      </w:r>
      <w:hyperlink r:id="rId26" w:history="1">
        <w:r w:rsidRPr="00A33083">
          <w:t>ESPON projects</w:t>
        </w:r>
      </w:hyperlink>
      <w:r w:rsidRPr="00A33083">
        <w:t xml:space="preserve"> and </w:t>
      </w:r>
      <w:hyperlink r:id="rId27" w:history="1">
        <w:r w:rsidRPr="00A33083">
          <w:t>EUROSTAT</w:t>
        </w:r>
      </w:hyperlink>
      <w:r w:rsidRPr="00A33083">
        <w:t xml:space="preserve">. </w:t>
      </w:r>
    </w:p>
    <w:p w:rsidR="0044062C" w:rsidRDefault="0044062C" w:rsidP="0044062C">
      <w:pPr>
        <w:pStyle w:val="ListParagraph"/>
        <w:numPr>
          <w:ilvl w:val="0"/>
          <w:numId w:val="4"/>
        </w:numPr>
      </w:pPr>
      <w:r w:rsidRPr="00112693">
        <w:rPr>
          <w:b/>
        </w:rPr>
        <w:t>ESPON Hyperaltas</w:t>
      </w:r>
      <w:r w:rsidRPr="000B4718">
        <w:t xml:space="preserve"> </w:t>
      </w:r>
      <w:r>
        <w:t>allows comparing and analysing a</w:t>
      </w:r>
      <w:r w:rsidRPr="000B4718">
        <w:t xml:space="preserve"> region’s relative position at European, national and local scale for a </w:t>
      </w:r>
      <w:r>
        <w:t>wide range of</w:t>
      </w:r>
      <w:r w:rsidRPr="000B4718">
        <w:t xml:space="preserve"> criteria.</w:t>
      </w:r>
    </w:p>
    <w:p w:rsidR="0044062C" w:rsidRPr="00CD642B" w:rsidRDefault="0044062C" w:rsidP="0044062C">
      <w:pPr>
        <w:pStyle w:val="ListParagraph"/>
        <w:numPr>
          <w:ilvl w:val="0"/>
          <w:numId w:val="4"/>
        </w:numPr>
      </w:pPr>
      <w:r w:rsidRPr="00112693">
        <w:rPr>
          <w:b/>
        </w:rPr>
        <w:t>ESPON MapFinder</w:t>
      </w:r>
      <w:r w:rsidRPr="00CD642B">
        <w:t xml:space="preserve"> provides access to the most relevant ESPON maps resulting from ESPON projects and reports. </w:t>
      </w:r>
    </w:p>
    <w:p w:rsidR="0044062C" w:rsidRDefault="0044062C" w:rsidP="0044062C">
      <w:pPr>
        <w:pStyle w:val="ListParagraph"/>
        <w:numPr>
          <w:ilvl w:val="0"/>
          <w:numId w:val="4"/>
        </w:numPr>
        <w:jc w:val="left"/>
      </w:pPr>
      <w:r w:rsidRPr="00D42ABD">
        <w:rPr>
          <w:b/>
        </w:rPr>
        <w:t>ESPON Typologies</w:t>
      </w:r>
      <w:r w:rsidRPr="003A2F36">
        <w:t xml:space="preserve"> provides nine regional typologies for additional analysis of </w:t>
      </w:r>
      <w:r>
        <w:t>regional data</w:t>
      </w:r>
      <w:r w:rsidRPr="003A2F36">
        <w:t xml:space="preserve"> to be considered in the European context. </w:t>
      </w:r>
    </w:p>
    <w:p w:rsidR="0044062C" w:rsidRPr="003E2CCE" w:rsidRDefault="0044062C" w:rsidP="0044062C">
      <w:pPr>
        <w:jc w:val="center"/>
      </w:pPr>
      <w:r w:rsidRPr="00CD642B">
        <w:t>All ESPON reports and tools are freely available at</w:t>
      </w:r>
      <w:r>
        <w:br/>
      </w:r>
      <w:r w:rsidRPr="00CD642B">
        <w:rPr>
          <w:b/>
        </w:rPr>
        <w:t>www.espon.eu</w:t>
      </w:r>
    </w:p>
    <w:p w:rsidR="005A5FC4" w:rsidRPr="005A5FC4" w:rsidRDefault="005A5FC4" w:rsidP="005A5FC4"/>
    <w:p w:rsidR="00BC65E1" w:rsidRPr="00127102" w:rsidRDefault="001B300C" w:rsidP="00BC65E1">
      <w:pPr>
        <w:pStyle w:val="ESPONText"/>
        <w:rPr>
          <w:rFonts w:ascii="Arial" w:hAnsi="Arial" w:cs="Arial"/>
        </w:rPr>
      </w:pPr>
      <w:r>
        <w:rPr>
          <w:rFonts w:ascii="Arial" w:hAnsi="Arial" w:cs="Arial"/>
          <w:noProof/>
          <w:lang w:val="en-US" w:eastAsia="en-US"/>
        </w:rPr>
        <w:lastRenderedPageBreak/>
        <w:drawing>
          <wp:anchor distT="0" distB="0" distL="114300" distR="114300" simplePos="0" relativeHeight="251656704" behindDoc="0" locked="0" layoutInCell="1" allowOverlap="1">
            <wp:simplePos x="0" y="0"/>
            <wp:positionH relativeFrom="column">
              <wp:posOffset>-1115695</wp:posOffset>
            </wp:positionH>
            <wp:positionV relativeFrom="paragraph">
              <wp:posOffset>-864235</wp:posOffset>
            </wp:positionV>
            <wp:extent cx="7594600" cy="10692130"/>
            <wp:effectExtent l="19050" t="0" r="6350" b="0"/>
            <wp:wrapSquare wrapText="bothSides"/>
            <wp:docPr id="6" name="Bild 5" descr="Cover-T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over-TPG"/>
                    <pic:cNvPicPr>
                      <a:picLocks noChangeAspect="1" noChangeArrowheads="1"/>
                    </pic:cNvPicPr>
                  </pic:nvPicPr>
                  <pic:blipFill>
                    <a:blip r:embed="rId28" cstate="print"/>
                    <a:srcRect r="50919"/>
                    <a:stretch>
                      <a:fillRect/>
                    </a:stretch>
                  </pic:blipFill>
                  <pic:spPr bwMode="auto">
                    <a:xfrm>
                      <a:off x="0" y="0"/>
                      <a:ext cx="7594600" cy="10692130"/>
                    </a:xfrm>
                    <a:prstGeom prst="rect">
                      <a:avLst/>
                    </a:prstGeom>
                    <a:noFill/>
                    <a:ln w="9525">
                      <a:noFill/>
                      <a:miter lim="800000"/>
                      <a:headEnd/>
                      <a:tailEnd/>
                    </a:ln>
                  </pic:spPr>
                </pic:pic>
              </a:graphicData>
            </a:graphic>
          </wp:anchor>
        </w:drawing>
      </w:r>
      <w:r w:rsidR="002B6507" w:rsidRPr="002B6507">
        <w:rPr>
          <w:rFonts w:ascii="Arial" w:hAnsi="Arial" w:cs="Arial"/>
          <w:noProof/>
          <w:lang w:eastAsia="en-GB"/>
        </w:rPr>
        <w:pict>
          <v:shapetype id="_x0000_t202" coordsize="21600,21600" o:spt="202" path="m,l,21600r21600,l21600,xe">
            <v:stroke joinstyle="miter"/>
            <v:path gradientshapeok="t" o:connecttype="rect"/>
          </v:shapetype>
          <v:shape id="Text Box 2" o:spid="_x0000_s1026" type="#_x0000_t202" style="position:absolute;left:0;text-align:left;margin-left:-36.1pt;margin-top:-301.9pt;width:228pt;height:97.2pt;z-index:251657728;visibility:visible;mso-height-percent:200;mso-position-horizontal-relative:text;mso-position-vertical-relative:text;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1u1uQIAAMIFAAAOAAAAZHJzL2Uyb0RvYy54bWysVNtunDAQfa/Uf7D8TrjUuwsobJQsS1Up&#10;vUhJP8ALZrEKNrW9C2nVf+/Y7C3JS9WWB2R7xmfOzBzP9c3YtWjPlOZSZDi8CjBiopQVF9sMf30s&#10;vBgjbaioaCsFy/AT0/hm+fbN9dCnLJKNbCumEIAInQ59hhtj+tT3ddmwjuor2TMBxlqqjhrYqq1f&#10;KToAetf6URDM/UGqqleyZFrDaT4Z8dLh1zUrzee61sygNsPAzbi/cv+N/fvLa5puFe0bXh5o0L9g&#10;0VEuIOgJKqeGop3ir6A6XiqpZW2uStn5sq55yVwOkE0YvMjmoaE9c7lAcXR/KpP+f7Dlp/0XhXiV&#10;4SjCSNAOevTIRoPu5IgiW56h1yl4PfTgZ0Y4hja7VHV/L8tvGgm5aqjYslul5NAwWgG90N70L65O&#10;ONqCbIaPsoIwdGekAxpr1dnaQTUQoEObnk6tsVRKOIziZDYPwFSCLYzeEUJc83yaHq/3Spv3THbI&#10;LjKsoPcOnu7vtbF0aHp0sdGELHjbuv634tkBOE4nEByuWpul4dr5MwmSdbyOiUei+dojQZ57t8WK&#10;ePMiXMzyd/lqlYe/bNyQpA2vKiZsmKO0QvJnrTuIfBLFSVxatryycJaSVtvNqlVoT0Hahftc0cFy&#10;dvOf03BFgFxepBRGJLiLEq+YxwuPFGTmJYsg9oIwuUvmAUlIXjxP6Z4L9u8poSHDySyaTWo6k36R&#10;W+C+17nRtOMGhkfLuwzHJyeaWg2uReVaayhvp/VFKSz9cymg3cdGO8VakU5yNeNmdG/DydmqeSOr&#10;J5CwkiAwECMMPlg0Uv3AaIAhkmH9fUcVw6j9IOAZJKGVKTJuQ2aLCDbq0rK5tFBRAlSGDUbTcmWm&#10;SbXrFd82EOn48G7h6RTcifrM6vDgYFC43A5DzU6iy73zOo/e5W8AAAD//wMAUEsDBBQABgAIAAAA&#10;IQCYdvtZ4AAAAA0BAAAPAAAAZHJzL2Rvd25yZXYueG1sTI9LT8MwEITvSPwHa5G4tTZp1Ucap6pQ&#10;W45AiTi78ZJExA/Zbhr+PdsT3GZ3R7PfFNvR9GzAEDtnJTxNBTC0tdOdbSRUH4fJClhMymrVO4sS&#10;fjDCtry/K1Su3dW+43BKDaMQG3MloU3J55zHukWj4tR5tHT7csGoRGNouA7qSuGm55kQC25UZ+lD&#10;qzw+t1h/ny5Ggk/+uHwJr2+7/WEQ1eexyrpmL+Xjw7jbAEs4pj8z3PAJHUpiOruL1ZH1EibLLCMr&#10;iYWYUQmyzFY3cabVXKznwMuC/29R/gIAAP//AwBQSwECLQAUAAYACAAAACEAtoM4kv4AAADhAQAA&#10;EwAAAAAAAAAAAAAAAAAAAAAAW0NvbnRlbnRfVHlwZXNdLnhtbFBLAQItABQABgAIAAAAIQA4/SH/&#10;1gAAAJQBAAALAAAAAAAAAAAAAAAAAC8BAABfcmVscy8ucmVsc1BLAQItABQABgAIAAAAIQCGT1u1&#10;uQIAAMIFAAAOAAAAAAAAAAAAAAAAAC4CAABkcnMvZTJvRG9jLnhtbFBLAQItABQABgAIAAAAIQCY&#10;dvtZ4AAAAA0BAAAPAAAAAAAAAAAAAAAAABMFAABkcnMvZG93bnJldi54bWxQSwUGAAAAAAQABADz&#10;AAAAIAYAAAAA&#10;" filled="f" stroked="f">
            <v:textbox style="mso-next-textbox:#Text Box 2;mso-fit-shape-to-text:t">
              <w:txbxContent>
                <w:p w:rsidR="00E93CA8" w:rsidRPr="00FB783A" w:rsidRDefault="00E93CA8" w:rsidP="00BC65E1">
                  <w:pPr>
                    <w:rPr>
                      <w:rFonts w:ascii="Arial" w:hAnsi="Arial" w:cs="Arial"/>
                      <w:szCs w:val="20"/>
                    </w:rPr>
                  </w:pPr>
                  <w:r>
                    <w:rPr>
                      <w:rFonts w:ascii="Arial" w:hAnsi="Arial" w:cs="Arial"/>
                      <w:szCs w:val="20"/>
                    </w:rPr>
                    <w:t xml:space="preserve">The ESPON 2013 Programme is part-financed by the European Regional Development Fund, the EU Member States and the Partner States Iceland, Liechtenstein, Norway and Switzerland. It shall support policy development in relation to the aim of territorial cohesion and a harmonious development of the European territory. </w:t>
                  </w:r>
                </w:p>
              </w:txbxContent>
            </v:textbox>
          </v:shape>
        </w:pict>
      </w:r>
    </w:p>
    <w:sectPr w:rsidR="00BC65E1" w:rsidRPr="00127102" w:rsidSect="00C33A99">
      <w:headerReference w:type="default" r:id="rId29"/>
      <w:footerReference w:type="default" r:id="rId30"/>
      <w:pgSz w:w="11907" w:h="16839" w:code="9"/>
      <w:pgMar w:top="1361" w:right="1797" w:bottom="1361" w:left="1797"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B5E71" w:rsidRDefault="00FB5E71">
      <w:r>
        <w:separator/>
      </w:r>
    </w:p>
  </w:endnote>
  <w:endnote w:type="continuationSeparator" w:id="0">
    <w:p w:rsidR="00FB5E71" w:rsidRDefault="00FB5E71">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3CA8" w:rsidRDefault="002B6507" w:rsidP="00BC65E1">
    <w:pPr>
      <w:framePr w:wrap="around" w:vAnchor="text" w:hAnchor="margin" w:xAlign="right" w:y="1"/>
      <w:rPr>
        <w:rStyle w:val="PageNumber"/>
      </w:rPr>
    </w:pPr>
    <w:r>
      <w:rPr>
        <w:rStyle w:val="PageNumber"/>
      </w:rPr>
      <w:fldChar w:fldCharType="begin"/>
    </w:r>
    <w:r w:rsidR="00E93CA8">
      <w:rPr>
        <w:rStyle w:val="PageNumber"/>
      </w:rPr>
      <w:instrText xml:space="preserve">PAGE  </w:instrText>
    </w:r>
    <w:r>
      <w:rPr>
        <w:rStyle w:val="PageNumber"/>
      </w:rPr>
      <w:fldChar w:fldCharType="separate"/>
    </w:r>
    <w:r w:rsidR="00E93CA8">
      <w:rPr>
        <w:rStyle w:val="PageNumber"/>
        <w:noProof/>
      </w:rPr>
      <w:t>3</w:t>
    </w:r>
    <w:r>
      <w:rPr>
        <w:rStyle w:val="PageNumber"/>
      </w:rPr>
      <w:fldChar w:fldCharType="end"/>
    </w:r>
  </w:p>
  <w:p w:rsidR="00E93CA8" w:rsidRDefault="00E93CA8">
    <w:pPr>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3CA8" w:rsidRPr="00A15B61" w:rsidRDefault="002B6507" w:rsidP="00BC65E1">
    <w:pPr>
      <w:pStyle w:val="Footer"/>
      <w:framePr w:wrap="around" w:vAnchor="text" w:hAnchor="margin" w:xAlign="right" w:y="1"/>
      <w:rPr>
        <w:rStyle w:val="PageNumber"/>
      </w:rPr>
    </w:pPr>
    <w:r w:rsidRPr="00A15B61">
      <w:rPr>
        <w:rStyle w:val="PageNumber"/>
        <w:szCs w:val="20"/>
      </w:rPr>
      <w:fldChar w:fldCharType="begin"/>
    </w:r>
    <w:r w:rsidR="00E93CA8">
      <w:rPr>
        <w:rStyle w:val="PageNumber"/>
        <w:szCs w:val="20"/>
      </w:rPr>
      <w:instrText>PAGE</w:instrText>
    </w:r>
    <w:r w:rsidR="00E93CA8" w:rsidRPr="00A15B61">
      <w:rPr>
        <w:rStyle w:val="PageNumber"/>
        <w:szCs w:val="20"/>
      </w:rPr>
      <w:instrText xml:space="preserve">  </w:instrText>
    </w:r>
    <w:r w:rsidRPr="00A15B61">
      <w:rPr>
        <w:rStyle w:val="PageNumber"/>
        <w:szCs w:val="20"/>
      </w:rPr>
      <w:fldChar w:fldCharType="separate"/>
    </w:r>
    <w:r w:rsidR="0075348C">
      <w:rPr>
        <w:rStyle w:val="PageNumber"/>
        <w:noProof/>
        <w:szCs w:val="20"/>
      </w:rPr>
      <w:t>1</w:t>
    </w:r>
    <w:r w:rsidRPr="00A15B61">
      <w:rPr>
        <w:rStyle w:val="PageNumber"/>
        <w:szCs w:val="20"/>
      </w:rPr>
      <w:fldChar w:fldCharType="end"/>
    </w:r>
  </w:p>
  <w:p w:rsidR="00E93CA8" w:rsidRPr="00A15B61" w:rsidRDefault="00E93CA8" w:rsidP="006A3291">
    <w:pPr>
      <w:pStyle w:val="Footer"/>
      <w:ind w:right="360"/>
      <w:rPr>
        <w:rFonts w:ascii="Arial" w:hAnsi="Arial" w:cs="Arial"/>
        <w:szCs w:val="20"/>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3CA8" w:rsidRPr="00A15B61" w:rsidRDefault="002B6507" w:rsidP="00BC65E1">
    <w:pPr>
      <w:pStyle w:val="Footer"/>
      <w:framePr w:wrap="around" w:vAnchor="text" w:hAnchor="margin" w:xAlign="right" w:y="1"/>
      <w:rPr>
        <w:rStyle w:val="PageNumber"/>
      </w:rPr>
    </w:pPr>
    <w:r w:rsidRPr="00A15B61">
      <w:rPr>
        <w:rStyle w:val="PageNumber"/>
        <w:szCs w:val="20"/>
      </w:rPr>
      <w:fldChar w:fldCharType="begin"/>
    </w:r>
    <w:r w:rsidR="00E93CA8">
      <w:rPr>
        <w:rStyle w:val="PageNumber"/>
        <w:szCs w:val="20"/>
      </w:rPr>
      <w:instrText>PAGE</w:instrText>
    </w:r>
    <w:r w:rsidR="00E93CA8" w:rsidRPr="00A15B61">
      <w:rPr>
        <w:rStyle w:val="PageNumber"/>
        <w:szCs w:val="20"/>
      </w:rPr>
      <w:instrText xml:space="preserve">  </w:instrText>
    </w:r>
    <w:r w:rsidRPr="00A15B61">
      <w:rPr>
        <w:rStyle w:val="PageNumber"/>
        <w:szCs w:val="20"/>
      </w:rPr>
      <w:fldChar w:fldCharType="separate"/>
    </w:r>
    <w:r w:rsidR="0075348C">
      <w:rPr>
        <w:rStyle w:val="PageNumber"/>
        <w:noProof/>
        <w:szCs w:val="20"/>
      </w:rPr>
      <w:t>3</w:t>
    </w:r>
    <w:r w:rsidRPr="00A15B61">
      <w:rPr>
        <w:rStyle w:val="PageNumber"/>
        <w:szCs w:val="20"/>
      </w:rPr>
      <w:fldChar w:fldCharType="end"/>
    </w:r>
  </w:p>
  <w:p w:rsidR="00E93CA8" w:rsidRPr="00A15B61" w:rsidRDefault="00E93CA8" w:rsidP="006A3291">
    <w:pPr>
      <w:pStyle w:val="Footer"/>
      <w:ind w:right="360"/>
      <w:rPr>
        <w:rFonts w:ascii="Arial" w:hAnsi="Arial" w:cs="Arial"/>
        <w:szCs w:val="2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B5E71" w:rsidRDefault="00FB5E71">
      <w:r>
        <w:separator/>
      </w:r>
    </w:p>
  </w:footnote>
  <w:footnote w:type="continuationSeparator" w:id="0">
    <w:p w:rsidR="00FB5E71" w:rsidRDefault="00FB5E7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3CA8" w:rsidRDefault="002B6507">
    <w:pPr>
      <w:pStyle w:val="Header"/>
    </w:pPr>
    <w:r w:rsidRPr="002B6507">
      <w:rPr>
        <w:rFonts w:ascii="Arial" w:hAnsi="Arial" w:cs="Arial"/>
        <w:noProof/>
        <w:szCs w:val="20"/>
        <w:lang w:eastAsia="en-GB"/>
      </w:rPr>
      <w:pict>
        <v:shapetype id="_x0000_t202" coordsize="21600,21600" o:spt="202" path="m,l,21600r21600,l21600,xe">
          <v:stroke joinstyle="miter"/>
          <v:path gradientshapeok="t" o:connecttype="rect"/>
        </v:shapetype>
        <v:shape id="Text Box 1" o:spid="_x0000_s2049" type="#_x0000_t202" style="position:absolute;left:0;text-align:left;margin-left:-61.05pt;margin-top:113.1pt;width:553.05pt;height:149.4pt;z-index:25165516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HavtgIAALoFAAAOAAAAZHJzL2Uyb0RvYy54bWysVNtu2zAMfR+wfxD07voSJb6gTtHG8TCg&#10;uwDtPkCx5ViYLXmSEqcb9u+j5CZNWwwYtvlBkETqkIc85uXVoe/QninNpchxeBFgxEQlay62Of5y&#10;X3oJRtpQUdNOCpbjB6bx1fLtm8txyFgkW9nVTCEAETobhxy3xgyZ7+uqZT3VF3JgAoyNVD01cFRb&#10;v1Z0BPS+86MgWPijVPWgZMW0httiMuKlw28aVplPTaOZQV2OITfjVuXWjV395SXNtooOLa8e06B/&#10;kUVPuYCgJ6iCGop2ir+C6nmlpJaNuahk78um4RVzHIBNGLxgc9fSgTkuUBw9nMqk/x9s9XH/WSFe&#10;5xgaJWgPLbpnB4Nu5AGFtjrjoDNwuhvAzRzgGrrsmOrhVlZfNRJy1VKxZddKybFltIbs3Ev/7OmE&#10;oy3IZvwgawhDd0Y6oEOjels6KAYCdOjSw6kzNpUKLuMgmsWzOUYV2MIkjWeJ651Ps+PzQWnzjske&#10;2U2OFbTewdP9rTZABFyPLjaakCXvOtf+Tjy7AMfpBoLDU2uzabhu/kiDdJ2sE+KRaLH2SFAU3nW5&#10;It6iDON5MStWqyL8aeOGJGt5XTNhwxyVFZI/69yjxidNnLSlZcdrC2dT0mq7WXUK7Skou3SfbRck&#10;f+bmP0/DmYHLC0phRIKbKPXKRRJ7pCRzL42DxAvC9CZdBCQlRfmc0i0X7N8poTHH6TyaT2r6LbfA&#10;fa+50aznBmZHx3sQ78mJZlaDa1G71hrKu2l/Vgqb/lMpoGLHRjvFWpFOcjWHzQFQrIw3sn4A7SoJ&#10;ygKBwsCDTSvVd4xGGB451t92VDGMuvcC9J+GhNhp4w5kHkdwUOeWzbmFigqgcmwwmrYrM02o3aD4&#10;toVI0x8n5DX8Mw13an7KCqjYAwwIR+pxmNkJdH52Xk8jd/kLAAD//wMAUEsDBBQABgAIAAAAIQCt&#10;e1Fk4AAAAAwBAAAPAAAAZHJzL2Rvd25yZXYueG1sTI/LTsMwEEX3SPyDNUjsWjtRg5I0kwqB2IIo&#10;D6k7N3aTiHgcxW4T/p5hBcvRHN17brVb3CAudgq9J4RkrUBYarzpqUV4f3ta5SBC1GT04MkifNsA&#10;u/r6qtKl8TO92ss+toJDKJQaoYtxLKUMTWedDms/WuLfyU9ORz6nVppJzxzuBpkqdSed7okbOj3a&#10;h842X/uzQ/h4Ph0+N+qlfXTZOPtFSXKFRLy9We63IKJd4h8Mv/qsDjU7Hf2ZTBADwipJ04RZhDQr&#10;UhCMFPmG5x0RsixXIOtK/h9R/wAAAP//AwBQSwECLQAUAAYACAAAACEAtoM4kv4AAADhAQAAEwAA&#10;AAAAAAAAAAAAAAAAAAAAW0NvbnRlbnRfVHlwZXNdLnhtbFBLAQItABQABgAIAAAAIQA4/SH/1gAA&#10;AJQBAAALAAAAAAAAAAAAAAAAAC8BAABfcmVscy8ucmVsc1BLAQItABQABgAIAAAAIQBXKHavtgIA&#10;ALoFAAAOAAAAAAAAAAAAAAAAAC4CAABkcnMvZTJvRG9jLnhtbFBLAQItABQABgAIAAAAIQCte1Fk&#10;4AAAAAwBAAAPAAAAAAAAAAAAAAAAABAFAABkcnMvZG93bnJldi54bWxQSwUGAAAAAAQABADzAAAA&#10;HQYAAAAA&#10;" filled="f" stroked="f">
          <v:textbox style="mso-next-textbox:#Text Box 1">
            <w:txbxContent>
              <w:p w:rsidR="00E93CA8" w:rsidRDefault="009B2BE6" w:rsidP="00BC65E1">
                <w:pPr>
                  <w:spacing w:line="240" w:lineRule="auto"/>
                  <w:ind w:left="425" w:right="530"/>
                  <w:jc w:val="center"/>
                  <w:rPr>
                    <w:rFonts w:ascii="Arial" w:hAnsi="Arial" w:cs="Arial"/>
                    <w:sz w:val="60"/>
                    <w:szCs w:val="60"/>
                  </w:rPr>
                </w:pPr>
                <w:r>
                  <w:rPr>
                    <w:rFonts w:ascii="Arial" w:hAnsi="Arial" w:cs="Arial"/>
                    <w:sz w:val="60"/>
                    <w:szCs w:val="60"/>
                  </w:rPr>
                  <w:t>ESPON</w:t>
                </w:r>
                <w:r w:rsidR="00E93CA8">
                  <w:rPr>
                    <w:rFonts w:ascii="Arial" w:hAnsi="Arial" w:cs="Arial"/>
                    <w:sz w:val="60"/>
                    <w:szCs w:val="60"/>
                  </w:rPr>
                  <w:t xml:space="preserve"> </w:t>
                </w:r>
                <w:r w:rsidR="00E93CA8">
                  <w:rPr>
                    <w:rFonts w:ascii="Arial" w:hAnsi="Arial" w:cs="Arial"/>
                    <w:sz w:val="60"/>
                    <w:szCs w:val="60"/>
                  </w:rPr>
                  <w:br/>
                  <w:t xml:space="preserve">Factsheet </w:t>
                </w:r>
              </w:p>
              <w:p w:rsidR="00E93CA8" w:rsidRPr="00721B03" w:rsidRDefault="00E93CA8" w:rsidP="00BC65E1">
                <w:pPr>
                  <w:spacing w:line="240" w:lineRule="auto"/>
                  <w:ind w:left="425" w:right="310"/>
                  <w:jc w:val="center"/>
                  <w:rPr>
                    <w:rFonts w:ascii="Arial" w:hAnsi="Arial" w:cs="Arial"/>
                    <w:sz w:val="60"/>
                    <w:szCs w:val="60"/>
                  </w:rPr>
                </w:pPr>
                <w:r w:rsidRPr="004E391C">
                  <w:rPr>
                    <w:rFonts w:ascii="Arial" w:hAnsi="Arial" w:cs="Arial"/>
                    <w:sz w:val="60"/>
                    <w:szCs w:val="60"/>
                    <w:highlight w:val="yellow"/>
                  </w:rPr>
                  <w:t xml:space="preserve"> </w:t>
                </w:r>
              </w:p>
            </w:txbxContent>
          </v:textbox>
        </v:shape>
      </w:pict>
    </w:r>
    <w:r w:rsidR="00E93CA8">
      <w:rPr>
        <w:noProof/>
        <w:lang w:val="en-US"/>
      </w:rPr>
      <w:drawing>
        <wp:anchor distT="0" distB="0" distL="114300" distR="114300" simplePos="0" relativeHeight="251654144" behindDoc="1" locked="0" layoutInCell="1" allowOverlap="1">
          <wp:simplePos x="0" y="0"/>
          <wp:positionH relativeFrom="column">
            <wp:posOffset>-1143000</wp:posOffset>
          </wp:positionH>
          <wp:positionV relativeFrom="paragraph">
            <wp:posOffset>-457200</wp:posOffset>
          </wp:positionV>
          <wp:extent cx="7632065" cy="10701655"/>
          <wp:effectExtent l="25400" t="0" r="0" b="0"/>
          <wp:wrapNone/>
          <wp:docPr id="1" name="Bild 1" descr="Cover-TPG-Wh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ver-TPG-White"/>
                  <pic:cNvPicPr>
                    <a:picLocks noChangeAspect="1" noChangeArrowheads="1"/>
                  </pic:cNvPicPr>
                </pic:nvPicPr>
                <pic:blipFill>
                  <a:blip r:embed="rId1"/>
                  <a:srcRect l="51128"/>
                  <a:stretch>
                    <a:fillRect/>
                  </a:stretch>
                </pic:blipFill>
                <pic:spPr bwMode="auto">
                  <a:xfrm>
                    <a:off x="0" y="0"/>
                    <a:ext cx="7632065" cy="10701655"/>
                  </a:xfrm>
                  <a:prstGeom prst="rect">
                    <a:avLst/>
                  </a:prstGeom>
                  <a:noFill/>
                  <a:ln w="9525">
                    <a:noFill/>
                    <a:miter lim="800000"/>
                    <a:headEnd/>
                    <a:tailEnd/>
                  </a:ln>
                </pic:spPr>
              </pic:pic>
            </a:graphicData>
          </a:graphic>
        </wp:anchor>
      </w:drawing>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3CA8" w:rsidRDefault="00E93CA8">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1E82B24A"/>
    <w:lvl w:ilvl="0">
      <w:start w:val="1"/>
      <w:numFmt w:val="decimal"/>
      <w:lvlText w:val="%1."/>
      <w:lvlJc w:val="left"/>
      <w:pPr>
        <w:tabs>
          <w:tab w:val="num" w:pos="1492"/>
        </w:tabs>
        <w:ind w:left="1492" w:hanging="360"/>
      </w:pPr>
    </w:lvl>
  </w:abstractNum>
  <w:abstractNum w:abstractNumId="1">
    <w:nsid w:val="FFFFFF7D"/>
    <w:multiLevelType w:val="singleLevel"/>
    <w:tmpl w:val="CE4E40A4"/>
    <w:lvl w:ilvl="0">
      <w:start w:val="1"/>
      <w:numFmt w:val="decimal"/>
      <w:lvlText w:val="%1."/>
      <w:lvlJc w:val="left"/>
      <w:pPr>
        <w:tabs>
          <w:tab w:val="num" w:pos="1209"/>
        </w:tabs>
        <w:ind w:left="1209" w:hanging="360"/>
      </w:pPr>
    </w:lvl>
  </w:abstractNum>
  <w:abstractNum w:abstractNumId="2">
    <w:nsid w:val="FFFFFF7E"/>
    <w:multiLevelType w:val="singleLevel"/>
    <w:tmpl w:val="6CF8E2D6"/>
    <w:lvl w:ilvl="0">
      <w:start w:val="1"/>
      <w:numFmt w:val="decimal"/>
      <w:lvlText w:val="%1."/>
      <w:lvlJc w:val="left"/>
      <w:pPr>
        <w:tabs>
          <w:tab w:val="num" w:pos="926"/>
        </w:tabs>
        <w:ind w:left="926" w:hanging="360"/>
      </w:pPr>
    </w:lvl>
  </w:abstractNum>
  <w:abstractNum w:abstractNumId="3">
    <w:nsid w:val="FFFFFF7F"/>
    <w:multiLevelType w:val="singleLevel"/>
    <w:tmpl w:val="7384EFF6"/>
    <w:lvl w:ilvl="0">
      <w:start w:val="1"/>
      <w:numFmt w:val="decimal"/>
      <w:lvlText w:val="%1."/>
      <w:lvlJc w:val="left"/>
      <w:pPr>
        <w:tabs>
          <w:tab w:val="num" w:pos="643"/>
        </w:tabs>
        <w:ind w:left="643" w:hanging="360"/>
      </w:pPr>
    </w:lvl>
  </w:abstractNum>
  <w:abstractNum w:abstractNumId="4">
    <w:nsid w:val="FFFFFF80"/>
    <w:multiLevelType w:val="singleLevel"/>
    <w:tmpl w:val="9A5E9798"/>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50DEB89A"/>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CCE04BDA"/>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A7585740"/>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A97A1BB0"/>
    <w:lvl w:ilvl="0">
      <w:start w:val="1"/>
      <w:numFmt w:val="decimal"/>
      <w:lvlText w:val="%1."/>
      <w:lvlJc w:val="left"/>
      <w:pPr>
        <w:tabs>
          <w:tab w:val="num" w:pos="360"/>
        </w:tabs>
        <w:ind w:left="360" w:hanging="360"/>
      </w:pPr>
    </w:lvl>
  </w:abstractNum>
  <w:abstractNum w:abstractNumId="9">
    <w:nsid w:val="FFFFFF89"/>
    <w:multiLevelType w:val="singleLevel"/>
    <w:tmpl w:val="FE20B614"/>
    <w:lvl w:ilvl="0">
      <w:start w:val="1"/>
      <w:numFmt w:val="bullet"/>
      <w:lvlText w:val=""/>
      <w:lvlJc w:val="left"/>
      <w:pPr>
        <w:tabs>
          <w:tab w:val="num" w:pos="360"/>
        </w:tabs>
        <w:ind w:left="360" w:hanging="360"/>
      </w:pPr>
      <w:rPr>
        <w:rFonts w:ascii="Symbol" w:hAnsi="Symbol" w:hint="default"/>
      </w:rPr>
    </w:lvl>
  </w:abstractNum>
  <w:abstractNum w:abstractNumId="1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nsid w:val="01473F62"/>
    <w:multiLevelType w:val="hybridMultilevel"/>
    <w:tmpl w:val="88AA4E68"/>
    <w:lvl w:ilvl="0" w:tplc="A2005E00">
      <w:numFmt w:val="bullet"/>
      <w:lvlText w:val="-"/>
      <w:lvlJc w:val="left"/>
      <w:pPr>
        <w:ind w:left="720" w:hanging="360"/>
      </w:pPr>
      <w:rPr>
        <w:rFonts w:ascii="Verdana" w:eastAsia="Times New Roman" w:hAnsi="Verdana"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0CD20479"/>
    <w:multiLevelType w:val="singleLevel"/>
    <w:tmpl w:val="F4167E28"/>
    <w:lvl w:ilvl="0">
      <w:start w:val="1"/>
      <w:numFmt w:val="decimal"/>
      <w:pStyle w:val="ESPONTableHeading"/>
      <w:lvlText w:val="Table %1"/>
      <w:lvlJc w:val="left"/>
      <w:pPr>
        <w:tabs>
          <w:tab w:val="num" w:pos="1440"/>
        </w:tabs>
        <w:ind w:left="1077" w:hanging="1077"/>
      </w:pPr>
    </w:lvl>
  </w:abstractNum>
  <w:abstractNum w:abstractNumId="13">
    <w:nsid w:val="2E855DF1"/>
    <w:multiLevelType w:val="singleLevel"/>
    <w:tmpl w:val="D80CF3CE"/>
    <w:lvl w:ilvl="0">
      <w:start w:val="1"/>
      <w:numFmt w:val="decimal"/>
      <w:pStyle w:val="ESPONMapHeading"/>
      <w:lvlText w:val="Map %1"/>
      <w:lvlJc w:val="left"/>
      <w:pPr>
        <w:tabs>
          <w:tab w:val="num" w:pos="2495"/>
        </w:tabs>
        <w:ind w:left="2495" w:hanging="1077"/>
      </w:pPr>
    </w:lvl>
  </w:abstractNum>
  <w:abstractNum w:abstractNumId="14">
    <w:nsid w:val="44861BFD"/>
    <w:multiLevelType w:val="hybridMultilevel"/>
    <w:tmpl w:val="17F20B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ACA7CC9"/>
    <w:multiLevelType w:val="hybridMultilevel"/>
    <w:tmpl w:val="09F44E12"/>
    <w:lvl w:ilvl="0" w:tplc="040C0001">
      <w:start w:val="1"/>
      <w:numFmt w:val="bullet"/>
      <w:lvlText w:val=""/>
      <w:lvlJc w:val="left"/>
      <w:pPr>
        <w:ind w:left="720" w:hanging="360"/>
      </w:pPr>
      <w:rPr>
        <w:rFonts w:ascii="Symbol" w:hAnsi="Symbol" w:hint="default"/>
      </w:rPr>
    </w:lvl>
    <w:lvl w:ilvl="1" w:tplc="A2005E00">
      <w:numFmt w:val="bullet"/>
      <w:lvlText w:val="-"/>
      <w:lvlJc w:val="left"/>
      <w:pPr>
        <w:ind w:left="1440" w:hanging="360"/>
      </w:pPr>
      <w:rPr>
        <w:rFonts w:ascii="Verdana" w:eastAsia="Times New Roman" w:hAnsi="Verdana" w:cs="Calibri"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nsid w:val="52C75CB0"/>
    <w:multiLevelType w:val="hybridMultilevel"/>
    <w:tmpl w:val="96B073E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nsid w:val="5D414E38"/>
    <w:multiLevelType w:val="hybridMultilevel"/>
    <w:tmpl w:val="DCA2E89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nsid w:val="64EC0E84"/>
    <w:multiLevelType w:val="hybridMultilevel"/>
    <w:tmpl w:val="1FB8299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nsid w:val="6ACF5E81"/>
    <w:multiLevelType w:val="hybridMultilevel"/>
    <w:tmpl w:val="7DEE9938"/>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0">
    <w:nsid w:val="6D5363A6"/>
    <w:multiLevelType w:val="hybridMultilevel"/>
    <w:tmpl w:val="5F1877BA"/>
    <w:lvl w:ilvl="0" w:tplc="04090001">
      <w:start w:val="1"/>
      <w:numFmt w:val="bullet"/>
      <w:lvlText w:val=""/>
      <w:lvlJc w:val="left"/>
      <w:pPr>
        <w:ind w:left="3585" w:hanging="360"/>
      </w:pPr>
      <w:rPr>
        <w:rFonts w:ascii="Symbol" w:hAnsi="Symbol" w:hint="default"/>
      </w:rPr>
    </w:lvl>
    <w:lvl w:ilvl="1" w:tplc="04090003" w:tentative="1">
      <w:start w:val="1"/>
      <w:numFmt w:val="bullet"/>
      <w:lvlText w:val="o"/>
      <w:lvlJc w:val="left"/>
      <w:pPr>
        <w:ind w:left="4305" w:hanging="360"/>
      </w:pPr>
      <w:rPr>
        <w:rFonts w:ascii="Courier New" w:hAnsi="Courier New" w:cs="Courier New" w:hint="default"/>
      </w:rPr>
    </w:lvl>
    <w:lvl w:ilvl="2" w:tplc="04090005" w:tentative="1">
      <w:start w:val="1"/>
      <w:numFmt w:val="bullet"/>
      <w:lvlText w:val=""/>
      <w:lvlJc w:val="left"/>
      <w:pPr>
        <w:ind w:left="5025" w:hanging="360"/>
      </w:pPr>
      <w:rPr>
        <w:rFonts w:ascii="Wingdings" w:hAnsi="Wingdings" w:hint="default"/>
      </w:rPr>
    </w:lvl>
    <w:lvl w:ilvl="3" w:tplc="04090001" w:tentative="1">
      <w:start w:val="1"/>
      <w:numFmt w:val="bullet"/>
      <w:lvlText w:val=""/>
      <w:lvlJc w:val="left"/>
      <w:pPr>
        <w:ind w:left="5745" w:hanging="360"/>
      </w:pPr>
      <w:rPr>
        <w:rFonts w:ascii="Symbol" w:hAnsi="Symbol" w:hint="default"/>
      </w:rPr>
    </w:lvl>
    <w:lvl w:ilvl="4" w:tplc="04090003" w:tentative="1">
      <w:start w:val="1"/>
      <w:numFmt w:val="bullet"/>
      <w:lvlText w:val="o"/>
      <w:lvlJc w:val="left"/>
      <w:pPr>
        <w:ind w:left="6465" w:hanging="360"/>
      </w:pPr>
      <w:rPr>
        <w:rFonts w:ascii="Courier New" w:hAnsi="Courier New" w:cs="Courier New" w:hint="default"/>
      </w:rPr>
    </w:lvl>
    <w:lvl w:ilvl="5" w:tplc="04090005" w:tentative="1">
      <w:start w:val="1"/>
      <w:numFmt w:val="bullet"/>
      <w:lvlText w:val=""/>
      <w:lvlJc w:val="left"/>
      <w:pPr>
        <w:ind w:left="7185" w:hanging="360"/>
      </w:pPr>
      <w:rPr>
        <w:rFonts w:ascii="Wingdings" w:hAnsi="Wingdings" w:hint="default"/>
      </w:rPr>
    </w:lvl>
    <w:lvl w:ilvl="6" w:tplc="04090001" w:tentative="1">
      <w:start w:val="1"/>
      <w:numFmt w:val="bullet"/>
      <w:lvlText w:val=""/>
      <w:lvlJc w:val="left"/>
      <w:pPr>
        <w:ind w:left="7905" w:hanging="360"/>
      </w:pPr>
      <w:rPr>
        <w:rFonts w:ascii="Symbol" w:hAnsi="Symbol" w:hint="default"/>
      </w:rPr>
    </w:lvl>
    <w:lvl w:ilvl="7" w:tplc="04090003" w:tentative="1">
      <w:start w:val="1"/>
      <w:numFmt w:val="bullet"/>
      <w:lvlText w:val="o"/>
      <w:lvlJc w:val="left"/>
      <w:pPr>
        <w:ind w:left="8625" w:hanging="360"/>
      </w:pPr>
      <w:rPr>
        <w:rFonts w:ascii="Courier New" w:hAnsi="Courier New" w:cs="Courier New" w:hint="default"/>
      </w:rPr>
    </w:lvl>
    <w:lvl w:ilvl="8" w:tplc="04090005" w:tentative="1">
      <w:start w:val="1"/>
      <w:numFmt w:val="bullet"/>
      <w:lvlText w:val=""/>
      <w:lvlJc w:val="left"/>
      <w:pPr>
        <w:ind w:left="9345" w:hanging="360"/>
      </w:pPr>
      <w:rPr>
        <w:rFonts w:ascii="Wingdings" w:hAnsi="Wingdings" w:hint="default"/>
      </w:rPr>
    </w:lvl>
  </w:abstractNum>
  <w:abstractNum w:abstractNumId="21">
    <w:nsid w:val="7C7205F2"/>
    <w:multiLevelType w:val="multilevel"/>
    <w:tmpl w:val="8C367472"/>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none"/>
      <w:lvlText w:val=""/>
      <w:lvlJc w:val="left"/>
      <w:pPr>
        <w:tabs>
          <w:tab w:val="num" w:pos="-31680"/>
        </w:tabs>
        <w:ind w:left="-32767" w:firstLine="32767"/>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2">
    <w:nsid w:val="7C9072F8"/>
    <w:multiLevelType w:val="hybridMultilevel"/>
    <w:tmpl w:val="BBA09002"/>
    <w:lvl w:ilvl="0" w:tplc="040C0001">
      <w:start w:val="1"/>
      <w:numFmt w:val="bullet"/>
      <w:lvlText w:val=""/>
      <w:lvlJc w:val="left"/>
      <w:pPr>
        <w:ind w:left="720" w:hanging="360"/>
      </w:pPr>
      <w:rPr>
        <w:rFonts w:ascii="Symbol" w:hAnsi="Symbol" w:hint="default"/>
      </w:rPr>
    </w:lvl>
    <w:lvl w:ilvl="1" w:tplc="A2005E00">
      <w:numFmt w:val="bullet"/>
      <w:lvlText w:val="-"/>
      <w:lvlJc w:val="left"/>
      <w:pPr>
        <w:ind w:left="1440" w:hanging="360"/>
      </w:pPr>
      <w:rPr>
        <w:rFonts w:ascii="Verdana" w:eastAsia="Times New Roman" w:hAnsi="Verdana" w:cs="Calibri"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2"/>
  </w:num>
  <w:num w:numId="2">
    <w:abstractNumId w:val="13"/>
  </w:num>
  <w:num w:numId="3">
    <w:abstractNumId w:val="21"/>
  </w:num>
  <w:num w:numId="4">
    <w:abstractNumId w:val="19"/>
  </w:num>
  <w:num w:numId="5">
    <w:abstractNumId w:val="11"/>
  </w:num>
  <w:num w:numId="6">
    <w:abstractNumId w:val="18"/>
  </w:num>
  <w:num w:numId="7">
    <w:abstractNumId w:val="17"/>
  </w:num>
  <w:num w:numId="8">
    <w:abstractNumId w:val="15"/>
  </w:num>
  <w:num w:numId="9">
    <w:abstractNumId w:val="22"/>
  </w:num>
  <w:num w:numId="10">
    <w:abstractNumId w:val="21"/>
  </w:num>
  <w:num w:numId="11">
    <w:abstractNumId w:val="10"/>
  </w:num>
  <w:num w:numId="12">
    <w:abstractNumId w:val="20"/>
  </w:num>
  <w:num w:numId="13">
    <w:abstractNumId w:val="14"/>
  </w:num>
  <w:num w:numId="14">
    <w:abstractNumId w:val="16"/>
  </w:num>
  <w:num w:numId="15">
    <w:abstractNumId w:val="9"/>
  </w:num>
  <w:num w:numId="16">
    <w:abstractNumId w:val="7"/>
  </w:num>
  <w:num w:numId="17">
    <w:abstractNumId w:val="6"/>
  </w:num>
  <w:num w:numId="18">
    <w:abstractNumId w:val="5"/>
  </w:num>
  <w:num w:numId="19">
    <w:abstractNumId w:val="4"/>
  </w:num>
  <w:num w:numId="20">
    <w:abstractNumId w:val="8"/>
  </w:num>
  <w:num w:numId="21">
    <w:abstractNumId w:val="3"/>
  </w:num>
  <w:num w:numId="22">
    <w:abstractNumId w:val="2"/>
  </w:num>
  <w:num w:numId="23">
    <w:abstractNumId w:val="1"/>
  </w:num>
  <w:num w:numId="24">
    <w:abstractNumId w:val="0"/>
  </w:num>
  <w:numIdMacAtCleanup w:val="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proofState w:spelling="clean"/>
  <w:doNotTrackMoves/>
  <w:defaultTabStop w:val="720"/>
  <w:hyphenationZone w:val="425"/>
  <w:drawingGridHorizontalSpacing w:val="100"/>
  <w:displayHorizontalDrawingGridEvery w:val="2"/>
  <w:noPunctuationKerning/>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rsids>
    <w:rsidRoot w:val="00A15B61"/>
    <w:rsid w:val="00001320"/>
    <w:rsid w:val="000013EA"/>
    <w:rsid w:val="00001574"/>
    <w:rsid w:val="00004EA3"/>
    <w:rsid w:val="000066AA"/>
    <w:rsid w:val="00010DE4"/>
    <w:rsid w:val="00011481"/>
    <w:rsid w:val="00011C3D"/>
    <w:rsid w:val="00012892"/>
    <w:rsid w:val="00014F20"/>
    <w:rsid w:val="00016919"/>
    <w:rsid w:val="00016B50"/>
    <w:rsid w:val="000172BC"/>
    <w:rsid w:val="00020978"/>
    <w:rsid w:val="0002197F"/>
    <w:rsid w:val="00021A06"/>
    <w:rsid w:val="00031AEC"/>
    <w:rsid w:val="00032745"/>
    <w:rsid w:val="0003499E"/>
    <w:rsid w:val="000372A5"/>
    <w:rsid w:val="00037716"/>
    <w:rsid w:val="00041991"/>
    <w:rsid w:val="00041A22"/>
    <w:rsid w:val="0004221D"/>
    <w:rsid w:val="00043F45"/>
    <w:rsid w:val="00050AB6"/>
    <w:rsid w:val="000527DC"/>
    <w:rsid w:val="00055A97"/>
    <w:rsid w:val="000576BC"/>
    <w:rsid w:val="00061CE3"/>
    <w:rsid w:val="00063161"/>
    <w:rsid w:val="00064853"/>
    <w:rsid w:val="000664C7"/>
    <w:rsid w:val="00072557"/>
    <w:rsid w:val="00073957"/>
    <w:rsid w:val="00073BFF"/>
    <w:rsid w:val="00077C32"/>
    <w:rsid w:val="000812A6"/>
    <w:rsid w:val="00083607"/>
    <w:rsid w:val="00084A5A"/>
    <w:rsid w:val="00085BAD"/>
    <w:rsid w:val="00086387"/>
    <w:rsid w:val="00086429"/>
    <w:rsid w:val="000A0B9B"/>
    <w:rsid w:val="000A0F69"/>
    <w:rsid w:val="000A640C"/>
    <w:rsid w:val="000A647A"/>
    <w:rsid w:val="000B2B04"/>
    <w:rsid w:val="000B3819"/>
    <w:rsid w:val="000B4718"/>
    <w:rsid w:val="000B58AA"/>
    <w:rsid w:val="000B7A7D"/>
    <w:rsid w:val="000B7F4E"/>
    <w:rsid w:val="000C36A1"/>
    <w:rsid w:val="000C4070"/>
    <w:rsid w:val="000C716F"/>
    <w:rsid w:val="000D0D18"/>
    <w:rsid w:val="000D3299"/>
    <w:rsid w:val="000D57C9"/>
    <w:rsid w:val="000D7CC4"/>
    <w:rsid w:val="000E6CC8"/>
    <w:rsid w:val="000E76EB"/>
    <w:rsid w:val="000F1BA2"/>
    <w:rsid w:val="000F2140"/>
    <w:rsid w:val="00104631"/>
    <w:rsid w:val="0010512D"/>
    <w:rsid w:val="00105B9D"/>
    <w:rsid w:val="00112060"/>
    <w:rsid w:val="001120BB"/>
    <w:rsid w:val="00112693"/>
    <w:rsid w:val="0011785C"/>
    <w:rsid w:val="0012533B"/>
    <w:rsid w:val="001260F4"/>
    <w:rsid w:val="00127104"/>
    <w:rsid w:val="00132FDD"/>
    <w:rsid w:val="00133602"/>
    <w:rsid w:val="00134DC7"/>
    <w:rsid w:val="0013600B"/>
    <w:rsid w:val="00147567"/>
    <w:rsid w:val="001507D7"/>
    <w:rsid w:val="00150A5A"/>
    <w:rsid w:val="00150FCB"/>
    <w:rsid w:val="00151954"/>
    <w:rsid w:val="00152974"/>
    <w:rsid w:val="00153108"/>
    <w:rsid w:val="0015691A"/>
    <w:rsid w:val="00157B13"/>
    <w:rsid w:val="00162FF6"/>
    <w:rsid w:val="0016435C"/>
    <w:rsid w:val="00172B99"/>
    <w:rsid w:val="00177F91"/>
    <w:rsid w:val="00180D67"/>
    <w:rsid w:val="00182673"/>
    <w:rsid w:val="001838FE"/>
    <w:rsid w:val="00184B93"/>
    <w:rsid w:val="001907DA"/>
    <w:rsid w:val="00191F3D"/>
    <w:rsid w:val="001929F2"/>
    <w:rsid w:val="0019394E"/>
    <w:rsid w:val="00193F6F"/>
    <w:rsid w:val="001A0A8D"/>
    <w:rsid w:val="001A30F4"/>
    <w:rsid w:val="001A42AD"/>
    <w:rsid w:val="001A7669"/>
    <w:rsid w:val="001B0526"/>
    <w:rsid w:val="001B13B6"/>
    <w:rsid w:val="001B300C"/>
    <w:rsid w:val="001B6A94"/>
    <w:rsid w:val="001C043A"/>
    <w:rsid w:val="001C0C1D"/>
    <w:rsid w:val="001C0F06"/>
    <w:rsid w:val="001C4CA6"/>
    <w:rsid w:val="001C7CD0"/>
    <w:rsid w:val="001D0F57"/>
    <w:rsid w:val="001D187B"/>
    <w:rsid w:val="001D594F"/>
    <w:rsid w:val="001E0ECB"/>
    <w:rsid w:val="001E2507"/>
    <w:rsid w:val="001E4F95"/>
    <w:rsid w:val="001E5F4A"/>
    <w:rsid w:val="001F0A8E"/>
    <w:rsid w:val="001F236D"/>
    <w:rsid w:val="001F57B5"/>
    <w:rsid w:val="001F5D67"/>
    <w:rsid w:val="002004FA"/>
    <w:rsid w:val="00200704"/>
    <w:rsid w:val="00207B3F"/>
    <w:rsid w:val="0021343D"/>
    <w:rsid w:val="00213A52"/>
    <w:rsid w:val="002146DB"/>
    <w:rsid w:val="0022077E"/>
    <w:rsid w:val="00220A8C"/>
    <w:rsid w:val="002214A4"/>
    <w:rsid w:val="00221A45"/>
    <w:rsid w:val="00223DE3"/>
    <w:rsid w:val="002250F3"/>
    <w:rsid w:val="00227652"/>
    <w:rsid w:val="0023678B"/>
    <w:rsid w:val="002371D8"/>
    <w:rsid w:val="00253237"/>
    <w:rsid w:val="0025373C"/>
    <w:rsid w:val="002605E0"/>
    <w:rsid w:val="0026077F"/>
    <w:rsid w:val="00264534"/>
    <w:rsid w:val="00265996"/>
    <w:rsid w:val="00276DA6"/>
    <w:rsid w:val="00281A82"/>
    <w:rsid w:val="00282854"/>
    <w:rsid w:val="00285BF3"/>
    <w:rsid w:val="002923B9"/>
    <w:rsid w:val="00293ABA"/>
    <w:rsid w:val="00293DE9"/>
    <w:rsid w:val="00294042"/>
    <w:rsid w:val="002949F4"/>
    <w:rsid w:val="002977F3"/>
    <w:rsid w:val="002A0221"/>
    <w:rsid w:val="002A0E97"/>
    <w:rsid w:val="002A1379"/>
    <w:rsid w:val="002A15B2"/>
    <w:rsid w:val="002A2C96"/>
    <w:rsid w:val="002A7776"/>
    <w:rsid w:val="002B1929"/>
    <w:rsid w:val="002B51CA"/>
    <w:rsid w:val="002B6507"/>
    <w:rsid w:val="002B71A8"/>
    <w:rsid w:val="002C06ED"/>
    <w:rsid w:val="002C24CE"/>
    <w:rsid w:val="002C2CBC"/>
    <w:rsid w:val="002C4473"/>
    <w:rsid w:val="002C780D"/>
    <w:rsid w:val="002D1443"/>
    <w:rsid w:val="002D3185"/>
    <w:rsid w:val="002D5B13"/>
    <w:rsid w:val="002E0490"/>
    <w:rsid w:val="002E20E5"/>
    <w:rsid w:val="002E529A"/>
    <w:rsid w:val="002E619E"/>
    <w:rsid w:val="002F1D75"/>
    <w:rsid w:val="002F4B38"/>
    <w:rsid w:val="002F713F"/>
    <w:rsid w:val="00303833"/>
    <w:rsid w:val="00304555"/>
    <w:rsid w:val="00304A46"/>
    <w:rsid w:val="003052B2"/>
    <w:rsid w:val="0030699A"/>
    <w:rsid w:val="00322B33"/>
    <w:rsid w:val="003253E2"/>
    <w:rsid w:val="003351B4"/>
    <w:rsid w:val="00337519"/>
    <w:rsid w:val="00337872"/>
    <w:rsid w:val="00344591"/>
    <w:rsid w:val="003445A4"/>
    <w:rsid w:val="00351255"/>
    <w:rsid w:val="00351563"/>
    <w:rsid w:val="003526D5"/>
    <w:rsid w:val="00352B1D"/>
    <w:rsid w:val="00352D76"/>
    <w:rsid w:val="00353B5C"/>
    <w:rsid w:val="0035504D"/>
    <w:rsid w:val="00362CD8"/>
    <w:rsid w:val="00362D4C"/>
    <w:rsid w:val="00371DBA"/>
    <w:rsid w:val="00373AFF"/>
    <w:rsid w:val="0037440D"/>
    <w:rsid w:val="00376B51"/>
    <w:rsid w:val="00383954"/>
    <w:rsid w:val="00384F28"/>
    <w:rsid w:val="003860B2"/>
    <w:rsid w:val="00391559"/>
    <w:rsid w:val="00391CD5"/>
    <w:rsid w:val="00392914"/>
    <w:rsid w:val="0039373B"/>
    <w:rsid w:val="00396D72"/>
    <w:rsid w:val="00397CB9"/>
    <w:rsid w:val="003A016A"/>
    <w:rsid w:val="003A27BC"/>
    <w:rsid w:val="003A2F36"/>
    <w:rsid w:val="003A6832"/>
    <w:rsid w:val="003B0962"/>
    <w:rsid w:val="003B21D4"/>
    <w:rsid w:val="003C112D"/>
    <w:rsid w:val="003C261B"/>
    <w:rsid w:val="003C354A"/>
    <w:rsid w:val="003C3688"/>
    <w:rsid w:val="003C4DAF"/>
    <w:rsid w:val="003D1B4F"/>
    <w:rsid w:val="003D2A84"/>
    <w:rsid w:val="003D3487"/>
    <w:rsid w:val="003D4618"/>
    <w:rsid w:val="003D4A24"/>
    <w:rsid w:val="003D5114"/>
    <w:rsid w:val="003E0DE9"/>
    <w:rsid w:val="003E161E"/>
    <w:rsid w:val="003E1F66"/>
    <w:rsid w:val="003E2114"/>
    <w:rsid w:val="003E56F6"/>
    <w:rsid w:val="003E7A75"/>
    <w:rsid w:val="003F0688"/>
    <w:rsid w:val="003F196C"/>
    <w:rsid w:val="003F6066"/>
    <w:rsid w:val="00401DDB"/>
    <w:rsid w:val="004024D3"/>
    <w:rsid w:val="00402955"/>
    <w:rsid w:val="004043C4"/>
    <w:rsid w:val="004047DE"/>
    <w:rsid w:val="00404925"/>
    <w:rsid w:val="004054C3"/>
    <w:rsid w:val="0040760B"/>
    <w:rsid w:val="00410A29"/>
    <w:rsid w:val="004122A0"/>
    <w:rsid w:val="00412C19"/>
    <w:rsid w:val="004173E4"/>
    <w:rsid w:val="004177FC"/>
    <w:rsid w:val="00422212"/>
    <w:rsid w:val="0042391C"/>
    <w:rsid w:val="0042502E"/>
    <w:rsid w:val="00433090"/>
    <w:rsid w:val="004353CB"/>
    <w:rsid w:val="0044029A"/>
    <w:rsid w:val="0044062C"/>
    <w:rsid w:val="00443CD7"/>
    <w:rsid w:val="00445A8A"/>
    <w:rsid w:val="0044604E"/>
    <w:rsid w:val="00447210"/>
    <w:rsid w:val="00454825"/>
    <w:rsid w:val="00456E90"/>
    <w:rsid w:val="004604F3"/>
    <w:rsid w:val="0046572E"/>
    <w:rsid w:val="00467598"/>
    <w:rsid w:val="00470A8B"/>
    <w:rsid w:val="00472744"/>
    <w:rsid w:val="00473131"/>
    <w:rsid w:val="00475DCB"/>
    <w:rsid w:val="004778EB"/>
    <w:rsid w:val="00477CEB"/>
    <w:rsid w:val="0048039B"/>
    <w:rsid w:val="00484D6B"/>
    <w:rsid w:val="004854D1"/>
    <w:rsid w:val="00485672"/>
    <w:rsid w:val="004900DF"/>
    <w:rsid w:val="004933BE"/>
    <w:rsid w:val="004A0E81"/>
    <w:rsid w:val="004A1DB8"/>
    <w:rsid w:val="004A4AC7"/>
    <w:rsid w:val="004A52D3"/>
    <w:rsid w:val="004B03FD"/>
    <w:rsid w:val="004B2204"/>
    <w:rsid w:val="004B2360"/>
    <w:rsid w:val="004B2688"/>
    <w:rsid w:val="004B33EC"/>
    <w:rsid w:val="004B3A9D"/>
    <w:rsid w:val="004B48CD"/>
    <w:rsid w:val="004C4307"/>
    <w:rsid w:val="004C462E"/>
    <w:rsid w:val="004C71AB"/>
    <w:rsid w:val="004C764D"/>
    <w:rsid w:val="004D2437"/>
    <w:rsid w:val="004D6E70"/>
    <w:rsid w:val="004E11D0"/>
    <w:rsid w:val="004E39BD"/>
    <w:rsid w:val="004E3B1D"/>
    <w:rsid w:val="004E6E25"/>
    <w:rsid w:val="004F0F17"/>
    <w:rsid w:val="004F26B8"/>
    <w:rsid w:val="004F4013"/>
    <w:rsid w:val="004F6946"/>
    <w:rsid w:val="005023B0"/>
    <w:rsid w:val="00502D0D"/>
    <w:rsid w:val="00502E0A"/>
    <w:rsid w:val="00505959"/>
    <w:rsid w:val="005070C8"/>
    <w:rsid w:val="00511059"/>
    <w:rsid w:val="005131EA"/>
    <w:rsid w:val="00524215"/>
    <w:rsid w:val="00526E5A"/>
    <w:rsid w:val="005322AA"/>
    <w:rsid w:val="00541834"/>
    <w:rsid w:val="0054220D"/>
    <w:rsid w:val="005423A5"/>
    <w:rsid w:val="005433C5"/>
    <w:rsid w:val="00545F8A"/>
    <w:rsid w:val="005463AC"/>
    <w:rsid w:val="00552FAD"/>
    <w:rsid w:val="00556D25"/>
    <w:rsid w:val="005605FF"/>
    <w:rsid w:val="00562AB0"/>
    <w:rsid w:val="005634D0"/>
    <w:rsid w:val="0056756F"/>
    <w:rsid w:val="00571653"/>
    <w:rsid w:val="00571A61"/>
    <w:rsid w:val="00571C81"/>
    <w:rsid w:val="0057346D"/>
    <w:rsid w:val="00574CBD"/>
    <w:rsid w:val="005761A6"/>
    <w:rsid w:val="00582C35"/>
    <w:rsid w:val="00585345"/>
    <w:rsid w:val="00593AD0"/>
    <w:rsid w:val="00593B7A"/>
    <w:rsid w:val="00595161"/>
    <w:rsid w:val="005967A2"/>
    <w:rsid w:val="00597872"/>
    <w:rsid w:val="005A3E20"/>
    <w:rsid w:val="005A5FC4"/>
    <w:rsid w:val="005A73D9"/>
    <w:rsid w:val="005A7DFC"/>
    <w:rsid w:val="005B3722"/>
    <w:rsid w:val="005C108D"/>
    <w:rsid w:val="005C58DE"/>
    <w:rsid w:val="005C6D17"/>
    <w:rsid w:val="005D0C21"/>
    <w:rsid w:val="005D1921"/>
    <w:rsid w:val="005D2D0B"/>
    <w:rsid w:val="005D53EE"/>
    <w:rsid w:val="005D621D"/>
    <w:rsid w:val="005D78FE"/>
    <w:rsid w:val="005E463C"/>
    <w:rsid w:val="005E4E4C"/>
    <w:rsid w:val="005E6290"/>
    <w:rsid w:val="005F24DD"/>
    <w:rsid w:val="005F7BDC"/>
    <w:rsid w:val="0060091E"/>
    <w:rsid w:val="00606AFF"/>
    <w:rsid w:val="00610DAB"/>
    <w:rsid w:val="0061660C"/>
    <w:rsid w:val="00616DE9"/>
    <w:rsid w:val="0061757F"/>
    <w:rsid w:val="00632676"/>
    <w:rsid w:val="006326AB"/>
    <w:rsid w:val="00633FE2"/>
    <w:rsid w:val="00643649"/>
    <w:rsid w:val="006441ED"/>
    <w:rsid w:val="00645CD2"/>
    <w:rsid w:val="0065085F"/>
    <w:rsid w:val="00652965"/>
    <w:rsid w:val="00654361"/>
    <w:rsid w:val="0065695B"/>
    <w:rsid w:val="00657472"/>
    <w:rsid w:val="00657E48"/>
    <w:rsid w:val="00660A8B"/>
    <w:rsid w:val="006637D6"/>
    <w:rsid w:val="00664ACE"/>
    <w:rsid w:val="006743AD"/>
    <w:rsid w:val="00680B22"/>
    <w:rsid w:val="00681261"/>
    <w:rsid w:val="0068242A"/>
    <w:rsid w:val="00682613"/>
    <w:rsid w:val="00682B57"/>
    <w:rsid w:val="006847A3"/>
    <w:rsid w:val="00690277"/>
    <w:rsid w:val="0069219F"/>
    <w:rsid w:val="00695762"/>
    <w:rsid w:val="006A17A6"/>
    <w:rsid w:val="006A30AF"/>
    <w:rsid w:val="006A3291"/>
    <w:rsid w:val="006A5610"/>
    <w:rsid w:val="006A5F96"/>
    <w:rsid w:val="006A771A"/>
    <w:rsid w:val="006A7FE2"/>
    <w:rsid w:val="006B2F9A"/>
    <w:rsid w:val="006B48FD"/>
    <w:rsid w:val="006B59A1"/>
    <w:rsid w:val="006C481B"/>
    <w:rsid w:val="006D0750"/>
    <w:rsid w:val="006D18CA"/>
    <w:rsid w:val="006D26C2"/>
    <w:rsid w:val="006D3D3E"/>
    <w:rsid w:val="006D4D0B"/>
    <w:rsid w:val="006D5157"/>
    <w:rsid w:val="006D5350"/>
    <w:rsid w:val="006D6890"/>
    <w:rsid w:val="006E1A6B"/>
    <w:rsid w:val="006E4366"/>
    <w:rsid w:val="006E5E38"/>
    <w:rsid w:val="006E618B"/>
    <w:rsid w:val="006F0BC4"/>
    <w:rsid w:val="006F222E"/>
    <w:rsid w:val="006F49F1"/>
    <w:rsid w:val="006F4E16"/>
    <w:rsid w:val="00702CB8"/>
    <w:rsid w:val="00705BAD"/>
    <w:rsid w:val="00707885"/>
    <w:rsid w:val="0071023A"/>
    <w:rsid w:val="007107A7"/>
    <w:rsid w:val="007119D4"/>
    <w:rsid w:val="00712430"/>
    <w:rsid w:val="007153BD"/>
    <w:rsid w:val="00716E65"/>
    <w:rsid w:val="007172A4"/>
    <w:rsid w:val="007244F6"/>
    <w:rsid w:val="00724928"/>
    <w:rsid w:val="00725832"/>
    <w:rsid w:val="00726D46"/>
    <w:rsid w:val="00732C90"/>
    <w:rsid w:val="007370BC"/>
    <w:rsid w:val="007375D5"/>
    <w:rsid w:val="007423B2"/>
    <w:rsid w:val="007456E2"/>
    <w:rsid w:val="00747707"/>
    <w:rsid w:val="0075348C"/>
    <w:rsid w:val="00761029"/>
    <w:rsid w:val="0076148F"/>
    <w:rsid w:val="007656EC"/>
    <w:rsid w:val="00770B59"/>
    <w:rsid w:val="00771843"/>
    <w:rsid w:val="00773271"/>
    <w:rsid w:val="0077695D"/>
    <w:rsid w:val="0078171A"/>
    <w:rsid w:val="00782183"/>
    <w:rsid w:val="007831EE"/>
    <w:rsid w:val="00783B76"/>
    <w:rsid w:val="00783F35"/>
    <w:rsid w:val="007842F4"/>
    <w:rsid w:val="00787861"/>
    <w:rsid w:val="00791D68"/>
    <w:rsid w:val="0079272B"/>
    <w:rsid w:val="007949EF"/>
    <w:rsid w:val="0079633F"/>
    <w:rsid w:val="0079657F"/>
    <w:rsid w:val="00796C3C"/>
    <w:rsid w:val="00797BEC"/>
    <w:rsid w:val="007A3597"/>
    <w:rsid w:val="007A48EF"/>
    <w:rsid w:val="007A4E31"/>
    <w:rsid w:val="007A508C"/>
    <w:rsid w:val="007A5C06"/>
    <w:rsid w:val="007A5D52"/>
    <w:rsid w:val="007A5E35"/>
    <w:rsid w:val="007B19A0"/>
    <w:rsid w:val="007B59B6"/>
    <w:rsid w:val="007B7ADB"/>
    <w:rsid w:val="007C52E9"/>
    <w:rsid w:val="007E2555"/>
    <w:rsid w:val="007E3756"/>
    <w:rsid w:val="007F16DF"/>
    <w:rsid w:val="007F2A06"/>
    <w:rsid w:val="007F3142"/>
    <w:rsid w:val="008044DD"/>
    <w:rsid w:val="00804BA1"/>
    <w:rsid w:val="00805E5D"/>
    <w:rsid w:val="00811469"/>
    <w:rsid w:val="00812490"/>
    <w:rsid w:val="00812ECD"/>
    <w:rsid w:val="008132AD"/>
    <w:rsid w:val="00823513"/>
    <w:rsid w:val="0082390C"/>
    <w:rsid w:val="00823FCF"/>
    <w:rsid w:val="00827112"/>
    <w:rsid w:val="00827496"/>
    <w:rsid w:val="008321A8"/>
    <w:rsid w:val="00835D9A"/>
    <w:rsid w:val="00835EF3"/>
    <w:rsid w:val="008419E4"/>
    <w:rsid w:val="00844319"/>
    <w:rsid w:val="008454F5"/>
    <w:rsid w:val="00846CF1"/>
    <w:rsid w:val="00847741"/>
    <w:rsid w:val="00855241"/>
    <w:rsid w:val="008555CF"/>
    <w:rsid w:val="00856EFD"/>
    <w:rsid w:val="008570C2"/>
    <w:rsid w:val="00857F3C"/>
    <w:rsid w:val="00871839"/>
    <w:rsid w:val="00872B36"/>
    <w:rsid w:val="00875551"/>
    <w:rsid w:val="00875774"/>
    <w:rsid w:val="00876AC8"/>
    <w:rsid w:val="008829C7"/>
    <w:rsid w:val="00882F9C"/>
    <w:rsid w:val="00885028"/>
    <w:rsid w:val="00886C11"/>
    <w:rsid w:val="00891455"/>
    <w:rsid w:val="008941AD"/>
    <w:rsid w:val="0089569C"/>
    <w:rsid w:val="00895E5B"/>
    <w:rsid w:val="00896802"/>
    <w:rsid w:val="008A3B96"/>
    <w:rsid w:val="008A63DF"/>
    <w:rsid w:val="008A68FF"/>
    <w:rsid w:val="008B1002"/>
    <w:rsid w:val="008B2C0A"/>
    <w:rsid w:val="008B582B"/>
    <w:rsid w:val="008B5BDF"/>
    <w:rsid w:val="008C37DF"/>
    <w:rsid w:val="008C5656"/>
    <w:rsid w:val="008C7A02"/>
    <w:rsid w:val="008C7EA6"/>
    <w:rsid w:val="008D0268"/>
    <w:rsid w:val="008D1558"/>
    <w:rsid w:val="008D2417"/>
    <w:rsid w:val="008D3E90"/>
    <w:rsid w:val="008D4CB6"/>
    <w:rsid w:val="008D7746"/>
    <w:rsid w:val="008E033C"/>
    <w:rsid w:val="008E146A"/>
    <w:rsid w:val="008E24D2"/>
    <w:rsid w:val="008E385E"/>
    <w:rsid w:val="008E4D86"/>
    <w:rsid w:val="008E6B67"/>
    <w:rsid w:val="008F3EE5"/>
    <w:rsid w:val="008F3F1F"/>
    <w:rsid w:val="008F6322"/>
    <w:rsid w:val="008F7203"/>
    <w:rsid w:val="00905001"/>
    <w:rsid w:val="00906A2B"/>
    <w:rsid w:val="009116A2"/>
    <w:rsid w:val="00911A6A"/>
    <w:rsid w:val="0091343C"/>
    <w:rsid w:val="00913874"/>
    <w:rsid w:val="00921D38"/>
    <w:rsid w:val="0092562C"/>
    <w:rsid w:val="00927D4F"/>
    <w:rsid w:val="00931A61"/>
    <w:rsid w:val="0093778A"/>
    <w:rsid w:val="0094059F"/>
    <w:rsid w:val="00943F1C"/>
    <w:rsid w:val="00946375"/>
    <w:rsid w:val="00951B33"/>
    <w:rsid w:val="00952C12"/>
    <w:rsid w:val="009540EB"/>
    <w:rsid w:val="009607D7"/>
    <w:rsid w:val="00971C9B"/>
    <w:rsid w:val="009727D3"/>
    <w:rsid w:val="009729A4"/>
    <w:rsid w:val="00973416"/>
    <w:rsid w:val="00974016"/>
    <w:rsid w:val="00974649"/>
    <w:rsid w:val="00977AED"/>
    <w:rsid w:val="00983AB6"/>
    <w:rsid w:val="0099613A"/>
    <w:rsid w:val="00997518"/>
    <w:rsid w:val="009A379F"/>
    <w:rsid w:val="009A768F"/>
    <w:rsid w:val="009A7921"/>
    <w:rsid w:val="009B2BE6"/>
    <w:rsid w:val="009B4050"/>
    <w:rsid w:val="009B592C"/>
    <w:rsid w:val="009C0409"/>
    <w:rsid w:val="009C12E9"/>
    <w:rsid w:val="009D1667"/>
    <w:rsid w:val="009D1D06"/>
    <w:rsid w:val="009D22EC"/>
    <w:rsid w:val="009D2E8A"/>
    <w:rsid w:val="009D3B18"/>
    <w:rsid w:val="009D3F39"/>
    <w:rsid w:val="009D457D"/>
    <w:rsid w:val="009D681C"/>
    <w:rsid w:val="009E0BD5"/>
    <w:rsid w:val="009E1C7F"/>
    <w:rsid w:val="009E361D"/>
    <w:rsid w:val="009E51E3"/>
    <w:rsid w:val="009E5720"/>
    <w:rsid w:val="009E62EA"/>
    <w:rsid w:val="009E70A1"/>
    <w:rsid w:val="009F21F0"/>
    <w:rsid w:val="009F2583"/>
    <w:rsid w:val="009F3D83"/>
    <w:rsid w:val="009F7417"/>
    <w:rsid w:val="009F77A8"/>
    <w:rsid w:val="00A02FD6"/>
    <w:rsid w:val="00A0472D"/>
    <w:rsid w:val="00A06AEA"/>
    <w:rsid w:val="00A12916"/>
    <w:rsid w:val="00A13E7F"/>
    <w:rsid w:val="00A14BAC"/>
    <w:rsid w:val="00A14CCA"/>
    <w:rsid w:val="00A15B61"/>
    <w:rsid w:val="00A16062"/>
    <w:rsid w:val="00A202C5"/>
    <w:rsid w:val="00A2166F"/>
    <w:rsid w:val="00A24B55"/>
    <w:rsid w:val="00A265BE"/>
    <w:rsid w:val="00A304AA"/>
    <w:rsid w:val="00A31617"/>
    <w:rsid w:val="00A33083"/>
    <w:rsid w:val="00A37956"/>
    <w:rsid w:val="00A40496"/>
    <w:rsid w:val="00A413E0"/>
    <w:rsid w:val="00A433AA"/>
    <w:rsid w:val="00A447B6"/>
    <w:rsid w:val="00A457AA"/>
    <w:rsid w:val="00A46196"/>
    <w:rsid w:val="00A47168"/>
    <w:rsid w:val="00A55855"/>
    <w:rsid w:val="00A61620"/>
    <w:rsid w:val="00A62876"/>
    <w:rsid w:val="00A7369A"/>
    <w:rsid w:val="00A73F5F"/>
    <w:rsid w:val="00A76236"/>
    <w:rsid w:val="00A76F72"/>
    <w:rsid w:val="00A835C1"/>
    <w:rsid w:val="00A91FBB"/>
    <w:rsid w:val="00A9486C"/>
    <w:rsid w:val="00A967C7"/>
    <w:rsid w:val="00A9708D"/>
    <w:rsid w:val="00AA2C67"/>
    <w:rsid w:val="00AA4952"/>
    <w:rsid w:val="00AA5486"/>
    <w:rsid w:val="00AB0F46"/>
    <w:rsid w:val="00AB16F9"/>
    <w:rsid w:val="00AB23D7"/>
    <w:rsid w:val="00AB243A"/>
    <w:rsid w:val="00AB5BB9"/>
    <w:rsid w:val="00AB6431"/>
    <w:rsid w:val="00AB701A"/>
    <w:rsid w:val="00AC2BDE"/>
    <w:rsid w:val="00AC3144"/>
    <w:rsid w:val="00AC52D7"/>
    <w:rsid w:val="00AC7369"/>
    <w:rsid w:val="00AD1095"/>
    <w:rsid w:val="00AD5E29"/>
    <w:rsid w:val="00AD6766"/>
    <w:rsid w:val="00AD6865"/>
    <w:rsid w:val="00AE7F5D"/>
    <w:rsid w:val="00AF0B72"/>
    <w:rsid w:val="00AF1C0F"/>
    <w:rsid w:val="00AF35C2"/>
    <w:rsid w:val="00AF42C2"/>
    <w:rsid w:val="00AF42DC"/>
    <w:rsid w:val="00AF47EF"/>
    <w:rsid w:val="00AF61D7"/>
    <w:rsid w:val="00AF6A34"/>
    <w:rsid w:val="00B04642"/>
    <w:rsid w:val="00B06874"/>
    <w:rsid w:val="00B07EAE"/>
    <w:rsid w:val="00B1075F"/>
    <w:rsid w:val="00B111E1"/>
    <w:rsid w:val="00B135A2"/>
    <w:rsid w:val="00B13697"/>
    <w:rsid w:val="00B1770F"/>
    <w:rsid w:val="00B2763C"/>
    <w:rsid w:val="00B27F58"/>
    <w:rsid w:val="00B31016"/>
    <w:rsid w:val="00B31866"/>
    <w:rsid w:val="00B3257D"/>
    <w:rsid w:val="00B328F8"/>
    <w:rsid w:val="00B43B1B"/>
    <w:rsid w:val="00B45029"/>
    <w:rsid w:val="00B472A4"/>
    <w:rsid w:val="00B47314"/>
    <w:rsid w:val="00B47B1B"/>
    <w:rsid w:val="00B47EEE"/>
    <w:rsid w:val="00B51A9A"/>
    <w:rsid w:val="00B54542"/>
    <w:rsid w:val="00B55DC5"/>
    <w:rsid w:val="00B57F87"/>
    <w:rsid w:val="00B57FCF"/>
    <w:rsid w:val="00B601F1"/>
    <w:rsid w:val="00B6026B"/>
    <w:rsid w:val="00B61D5A"/>
    <w:rsid w:val="00B7058E"/>
    <w:rsid w:val="00B728C8"/>
    <w:rsid w:val="00B75224"/>
    <w:rsid w:val="00B757EC"/>
    <w:rsid w:val="00B77BD4"/>
    <w:rsid w:val="00B82E7B"/>
    <w:rsid w:val="00B85450"/>
    <w:rsid w:val="00B85AA5"/>
    <w:rsid w:val="00B8613C"/>
    <w:rsid w:val="00B872B1"/>
    <w:rsid w:val="00B92990"/>
    <w:rsid w:val="00B9562C"/>
    <w:rsid w:val="00B969F0"/>
    <w:rsid w:val="00BA0117"/>
    <w:rsid w:val="00BA05C6"/>
    <w:rsid w:val="00BA1233"/>
    <w:rsid w:val="00BA161A"/>
    <w:rsid w:val="00BA5459"/>
    <w:rsid w:val="00BA5775"/>
    <w:rsid w:val="00BA5AB5"/>
    <w:rsid w:val="00BA651D"/>
    <w:rsid w:val="00BB0721"/>
    <w:rsid w:val="00BB611A"/>
    <w:rsid w:val="00BB6D17"/>
    <w:rsid w:val="00BB7245"/>
    <w:rsid w:val="00BB7570"/>
    <w:rsid w:val="00BC0D80"/>
    <w:rsid w:val="00BC0E15"/>
    <w:rsid w:val="00BC1396"/>
    <w:rsid w:val="00BC2C94"/>
    <w:rsid w:val="00BC42C7"/>
    <w:rsid w:val="00BC49D2"/>
    <w:rsid w:val="00BC5E43"/>
    <w:rsid w:val="00BC65E1"/>
    <w:rsid w:val="00BC6DBF"/>
    <w:rsid w:val="00BC7B26"/>
    <w:rsid w:val="00BD051A"/>
    <w:rsid w:val="00BE0557"/>
    <w:rsid w:val="00BE188E"/>
    <w:rsid w:val="00BE223D"/>
    <w:rsid w:val="00BE4274"/>
    <w:rsid w:val="00BE6599"/>
    <w:rsid w:val="00BF378B"/>
    <w:rsid w:val="00BF3C62"/>
    <w:rsid w:val="00BF56C7"/>
    <w:rsid w:val="00C00C96"/>
    <w:rsid w:val="00C019EF"/>
    <w:rsid w:val="00C033E5"/>
    <w:rsid w:val="00C04A1F"/>
    <w:rsid w:val="00C04A31"/>
    <w:rsid w:val="00C0554A"/>
    <w:rsid w:val="00C11D58"/>
    <w:rsid w:val="00C13A33"/>
    <w:rsid w:val="00C1408A"/>
    <w:rsid w:val="00C160A4"/>
    <w:rsid w:val="00C25CB5"/>
    <w:rsid w:val="00C26F3B"/>
    <w:rsid w:val="00C30BF8"/>
    <w:rsid w:val="00C32582"/>
    <w:rsid w:val="00C33A99"/>
    <w:rsid w:val="00C34A6E"/>
    <w:rsid w:val="00C421CA"/>
    <w:rsid w:val="00C46385"/>
    <w:rsid w:val="00C504A8"/>
    <w:rsid w:val="00C5084D"/>
    <w:rsid w:val="00C508D6"/>
    <w:rsid w:val="00C51A75"/>
    <w:rsid w:val="00C520E9"/>
    <w:rsid w:val="00C5255D"/>
    <w:rsid w:val="00C603EB"/>
    <w:rsid w:val="00C664BB"/>
    <w:rsid w:val="00C675CC"/>
    <w:rsid w:val="00C7069F"/>
    <w:rsid w:val="00C71718"/>
    <w:rsid w:val="00C7538F"/>
    <w:rsid w:val="00C76A20"/>
    <w:rsid w:val="00C77C7E"/>
    <w:rsid w:val="00C77D2A"/>
    <w:rsid w:val="00C809FF"/>
    <w:rsid w:val="00C86C99"/>
    <w:rsid w:val="00C9580A"/>
    <w:rsid w:val="00C9704F"/>
    <w:rsid w:val="00CA207A"/>
    <w:rsid w:val="00CA3C33"/>
    <w:rsid w:val="00CA4369"/>
    <w:rsid w:val="00CA6583"/>
    <w:rsid w:val="00CB28C9"/>
    <w:rsid w:val="00CB672B"/>
    <w:rsid w:val="00CB7211"/>
    <w:rsid w:val="00CC1A98"/>
    <w:rsid w:val="00CC6723"/>
    <w:rsid w:val="00CC7EC5"/>
    <w:rsid w:val="00CD45BE"/>
    <w:rsid w:val="00CD642B"/>
    <w:rsid w:val="00CD6A77"/>
    <w:rsid w:val="00CD6FEB"/>
    <w:rsid w:val="00CE4087"/>
    <w:rsid w:val="00CE61D3"/>
    <w:rsid w:val="00CE67DD"/>
    <w:rsid w:val="00CF4683"/>
    <w:rsid w:val="00CF4C50"/>
    <w:rsid w:val="00CF5258"/>
    <w:rsid w:val="00CF7148"/>
    <w:rsid w:val="00D007DE"/>
    <w:rsid w:val="00D01EF1"/>
    <w:rsid w:val="00D0245E"/>
    <w:rsid w:val="00D0259D"/>
    <w:rsid w:val="00D03DB3"/>
    <w:rsid w:val="00D047DC"/>
    <w:rsid w:val="00D04DA5"/>
    <w:rsid w:val="00D05AFF"/>
    <w:rsid w:val="00D06C03"/>
    <w:rsid w:val="00D1032D"/>
    <w:rsid w:val="00D10A4C"/>
    <w:rsid w:val="00D11BBC"/>
    <w:rsid w:val="00D13EF1"/>
    <w:rsid w:val="00D144A8"/>
    <w:rsid w:val="00D15D08"/>
    <w:rsid w:val="00D205A6"/>
    <w:rsid w:val="00D20C8C"/>
    <w:rsid w:val="00D21D29"/>
    <w:rsid w:val="00D26713"/>
    <w:rsid w:val="00D318F2"/>
    <w:rsid w:val="00D32EA8"/>
    <w:rsid w:val="00D401D5"/>
    <w:rsid w:val="00D41605"/>
    <w:rsid w:val="00D42ABD"/>
    <w:rsid w:val="00D42E31"/>
    <w:rsid w:val="00D42EB6"/>
    <w:rsid w:val="00D44FB6"/>
    <w:rsid w:val="00D45CD1"/>
    <w:rsid w:val="00D466CF"/>
    <w:rsid w:val="00D47BAC"/>
    <w:rsid w:val="00D510B6"/>
    <w:rsid w:val="00D515B8"/>
    <w:rsid w:val="00D51F83"/>
    <w:rsid w:val="00D52B90"/>
    <w:rsid w:val="00D52DB1"/>
    <w:rsid w:val="00D54869"/>
    <w:rsid w:val="00D57F45"/>
    <w:rsid w:val="00D62842"/>
    <w:rsid w:val="00D67AFE"/>
    <w:rsid w:val="00D72C5E"/>
    <w:rsid w:val="00D74BD3"/>
    <w:rsid w:val="00D77200"/>
    <w:rsid w:val="00D81724"/>
    <w:rsid w:val="00D8210F"/>
    <w:rsid w:val="00D83C64"/>
    <w:rsid w:val="00D87743"/>
    <w:rsid w:val="00D94F5F"/>
    <w:rsid w:val="00DA0865"/>
    <w:rsid w:val="00DA1668"/>
    <w:rsid w:val="00DA20D3"/>
    <w:rsid w:val="00DA3493"/>
    <w:rsid w:val="00DA3852"/>
    <w:rsid w:val="00DA49C4"/>
    <w:rsid w:val="00DA63BF"/>
    <w:rsid w:val="00DA6F83"/>
    <w:rsid w:val="00DB42BD"/>
    <w:rsid w:val="00DB605C"/>
    <w:rsid w:val="00DC0823"/>
    <w:rsid w:val="00DC21BC"/>
    <w:rsid w:val="00DC3E4C"/>
    <w:rsid w:val="00DC4E40"/>
    <w:rsid w:val="00DC55C7"/>
    <w:rsid w:val="00DC60A4"/>
    <w:rsid w:val="00DC6422"/>
    <w:rsid w:val="00DD0539"/>
    <w:rsid w:val="00DD5DDA"/>
    <w:rsid w:val="00DD675E"/>
    <w:rsid w:val="00DE0D99"/>
    <w:rsid w:val="00DE3E55"/>
    <w:rsid w:val="00DE50C5"/>
    <w:rsid w:val="00DE584B"/>
    <w:rsid w:val="00DF22D8"/>
    <w:rsid w:val="00DF76E3"/>
    <w:rsid w:val="00E02024"/>
    <w:rsid w:val="00E03013"/>
    <w:rsid w:val="00E03104"/>
    <w:rsid w:val="00E03ABA"/>
    <w:rsid w:val="00E04EC2"/>
    <w:rsid w:val="00E05505"/>
    <w:rsid w:val="00E10213"/>
    <w:rsid w:val="00E108F5"/>
    <w:rsid w:val="00E11808"/>
    <w:rsid w:val="00E11F16"/>
    <w:rsid w:val="00E21E7C"/>
    <w:rsid w:val="00E27072"/>
    <w:rsid w:val="00E32184"/>
    <w:rsid w:val="00E32185"/>
    <w:rsid w:val="00E32FB2"/>
    <w:rsid w:val="00E34406"/>
    <w:rsid w:val="00E35F66"/>
    <w:rsid w:val="00E42BB9"/>
    <w:rsid w:val="00E443A6"/>
    <w:rsid w:val="00E45A26"/>
    <w:rsid w:val="00E46C40"/>
    <w:rsid w:val="00E479A3"/>
    <w:rsid w:val="00E47D48"/>
    <w:rsid w:val="00E502EA"/>
    <w:rsid w:val="00E52669"/>
    <w:rsid w:val="00E53823"/>
    <w:rsid w:val="00E53C01"/>
    <w:rsid w:val="00E544A0"/>
    <w:rsid w:val="00E576B9"/>
    <w:rsid w:val="00E57FE0"/>
    <w:rsid w:val="00E613A3"/>
    <w:rsid w:val="00E621AC"/>
    <w:rsid w:val="00E6468A"/>
    <w:rsid w:val="00E701B2"/>
    <w:rsid w:val="00E709E6"/>
    <w:rsid w:val="00E70AEC"/>
    <w:rsid w:val="00E71207"/>
    <w:rsid w:val="00E71AAB"/>
    <w:rsid w:val="00E727A7"/>
    <w:rsid w:val="00E73444"/>
    <w:rsid w:val="00E738D0"/>
    <w:rsid w:val="00E742A9"/>
    <w:rsid w:val="00E746F4"/>
    <w:rsid w:val="00E77F26"/>
    <w:rsid w:val="00E855FF"/>
    <w:rsid w:val="00E93CA8"/>
    <w:rsid w:val="00E97A65"/>
    <w:rsid w:val="00EA0FFC"/>
    <w:rsid w:val="00EA337F"/>
    <w:rsid w:val="00EA5A90"/>
    <w:rsid w:val="00EB092A"/>
    <w:rsid w:val="00EB19B2"/>
    <w:rsid w:val="00EB1FF2"/>
    <w:rsid w:val="00EB5570"/>
    <w:rsid w:val="00EB6387"/>
    <w:rsid w:val="00EB7D50"/>
    <w:rsid w:val="00EC4562"/>
    <w:rsid w:val="00EC6878"/>
    <w:rsid w:val="00ED077F"/>
    <w:rsid w:val="00ED236B"/>
    <w:rsid w:val="00ED58B7"/>
    <w:rsid w:val="00ED5923"/>
    <w:rsid w:val="00EE082D"/>
    <w:rsid w:val="00EE2B02"/>
    <w:rsid w:val="00EE31B3"/>
    <w:rsid w:val="00EE392C"/>
    <w:rsid w:val="00EF11A3"/>
    <w:rsid w:val="00EF6DEE"/>
    <w:rsid w:val="00F01157"/>
    <w:rsid w:val="00F023B8"/>
    <w:rsid w:val="00F10068"/>
    <w:rsid w:val="00F11DC3"/>
    <w:rsid w:val="00F158C5"/>
    <w:rsid w:val="00F20E21"/>
    <w:rsid w:val="00F212C3"/>
    <w:rsid w:val="00F228D6"/>
    <w:rsid w:val="00F252AD"/>
    <w:rsid w:val="00F320EF"/>
    <w:rsid w:val="00F3218A"/>
    <w:rsid w:val="00F34787"/>
    <w:rsid w:val="00F358CB"/>
    <w:rsid w:val="00F405D2"/>
    <w:rsid w:val="00F47743"/>
    <w:rsid w:val="00F519FB"/>
    <w:rsid w:val="00F54E2D"/>
    <w:rsid w:val="00F57119"/>
    <w:rsid w:val="00F60CB5"/>
    <w:rsid w:val="00F70635"/>
    <w:rsid w:val="00F738B9"/>
    <w:rsid w:val="00F74241"/>
    <w:rsid w:val="00F77867"/>
    <w:rsid w:val="00F77A11"/>
    <w:rsid w:val="00F77AD1"/>
    <w:rsid w:val="00F804D1"/>
    <w:rsid w:val="00F81275"/>
    <w:rsid w:val="00F8766A"/>
    <w:rsid w:val="00F92391"/>
    <w:rsid w:val="00FA0267"/>
    <w:rsid w:val="00FA1FBB"/>
    <w:rsid w:val="00FB3AD9"/>
    <w:rsid w:val="00FB5E71"/>
    <w:rsid w:val="00FC08B7"/>
    <w:rsid w:val="00FC2270"/>
    <w:rsid w:val="00FC3A5A"/>
    <w:rsid w:val="00FC5035"/>
    <w:rsid w:val="00FC6A8F"/>
    <w:rsid w:val="00FD0ADC"/>
    <w:rsid w:val="00FD413B"/>
    <w:rsid w:val="00FD4E3A"/>
    <w:rsid w:val="00FD54FE"/>
    <w:rsid w:val="00FD6260"/>
    <w:rsid w:val="00FD70D0"/>
    <w:rsid w:val="00FE7D95"/>
    <w:rsid w:val="00FF56E3"/>
    <w:rsid w:val="00FF684C"/>
  </w:rsids>
  <m:mathPr>
    <m:mathFont m:val="Cambria Math"/>
    <m:brkBin m:val="before"/>
    <m:brkBinSub m:val="--"/>
    <m:smallFrac/>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4"/>
        <w:szCs w:val="24"/>
        <w:lang w:val="en-US" w:eastAsia="de-DE" w:bidi="ar-SA"/>
      </w:rPr>
    </w:rPrDefault>
    <w:pPrDefault/>
  </w:docDefaults>
  <w:latentStyles w:defLockedState="0" w:defUIPriority="0" w:defSemiHidden="0" w:defUnhideWhenUsed="0" w:defQFormat="0" w:count="267">
    <w:lsdException w:name="heading 1" w:qFormat="1"/>
    <w:lsdException w:name="heading 2" w:qFormat="1"/>
    <w:lsdException w:name="Normal (Web)" w:uiPriority="99"/>
    <w:lsdException w:name="List Paragraph"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21E7C"/>
    <w:pPr>
      <w:spacing w:after="120" w:line="240" w:lineRule="exact"/>
      <w:jc w:val="both"/>
    </w:pPr>
    <w:rPr>
      <w:rFonts w:ascii="Verdana" w:hAnsi="Verdana"/>
      <w:sz w:val="20"/>
      <w:lang w:val="en-GB" w:eastAsia="en-US"/>
    </w:rPr>
  </w:style>
  <w:style w:type="paragraph" w:styleId="Heading1">
    <w:name w:val="heading 1"/>
    <w:basedOn w:val="Normal"/>
    <w:next w:val="Normal"/>
    <w:link w:val="Heading1Char"/>
    <w:autoRedefine/>
    <w:qFormat/>
    <w:rsid w:val="00001320"/>
    <w:pPr>
      <w:keepNext/>
      <w:numPr>
        <w:numId w:val="3"/>
      </w:numPr>
      <w:spacing w:before="120" w:line="240" w:lineRule="auto"/>
      <w:outlineLvl w:val="0"/>
    </w:pPr>
    <w:rPr>
      <w:b/>
      <w:bCs/>
      <w:kern w:val="32"/>
      <w:sz w:val="28"/>
      <w:szCs w:val="32"/>
    </w:rPr>
  </w:style>
  <w:style w:type="paragraph" w:styleId="Heading2">
    <w:name w:val="heading 2"/>
    <w:basedOn w:val="Heading1"/>
    <w:next w:val="Normal"/>
    <w:link w:val="Heading2Char"/>
    <w:qFormat/>
    <w:rsid w:val="00001320"/>
    <w:pPr>
      <w:numPr>
        <w:ilvl w:val="1"/>
      </w:numPr>
      <w:outlineLvl w:val="1"/>
    </w:pPr>
    <w:rPr>
      <w:rFonts w:cs="Arial"/>
      <w:b w:val="0"/>
      <w:bCs w:val="0"/>
      <w:iCs/>
      <w:sz w:val="24"/>
      <w:szCs w:val="28"/>
      <w:lang w:val="en-US"/>
    </w:rPr>
  </w:style>
  <w:style w:type="paragraph" w:styleId="Heading3">
    <w:name w:val="heading 3"/>
    <w:basedOn w:val="Normal"/>
    <w:next w:val="Normal"/>
    <w:link w:val="Heading3Char"/>
    <w:rsid w:val="00946375"/>
    <w:pPr>
      <w:keepNext/>
      <w:spacing w:before="240" w:after="60"/>
      <w:outlineLvl w:val="2"/>
    </w:pPr>
    <w:rPr>
      <w:b/>
      <w:bCs/>
      <w:sz w:val="22"/>
      <w:szCs w:val="26"/>
    </w:rPr>
  </w:style>
  <w:style w:type="paragraph" w:styleId="Heading4">
    <w:name w:val="heading 4"/>
    <w:basedOn w:val="Normal"/>
    <w:next w:val="Normal"/>
    <w:link w:val="Heading4Char"/>
    <w:rsid w:val="00001320"/>
    <w:pPr>
      <w:keepNext/>
      <w:numPr>
        <w:ilvl w:val="3"/>
        <w:numId w:val="3"/>
      </w:numPr>
      <w:spacing w:before="240" w:after="60"/>
      <w:outlineLvl w:val="3"/>
    </w:pPr>
    <w:rPr>
      <w:rFonts w:ascii="Cambria" w:hAnsi="Cambria"/>
      <w:b/>
      <w:bCs/>
      <w:sz w:val="28"/>
      <w:szCs w:val="28"/>
    </w:rPr>
  </w:style>
  <w:style w:type="paragraph" w:styleId="Heading5">
    <w:name w:val="heading 5"/>
    <w:basedOn w:val="Normal"/>
    <w:next w:val="Normal"/>
    <w:link w:val="Heading5Char"/>
    <w:rsid w:val="00001320"/>
    <w:pPr>
      <w:numPr>
        <w:ilvl w:val="4"/>
        <w:numId w:val="3"/>
      </w:numPr>
      <w:spacing w:before="240" w:after="60"/>
      <w:outlineLvl w:val="4"/>
    </w:pPr>
    <w:rPr>
      <w:rFonts w:ascii="Cambria" w:hAnsi="Cambria"/>
      <w:b/>
      <w:bCs/>
      <w:i/>
      <w:iCs/>
      <w:sz w:val="26"/>
      <w:szCs w:val="26"/>
    </w:rPr>
  </w:style>
  <w:style w:type="paragraph" w:styleId="Heading6">
    <w:name w:val="heading 6"/>
    <w:basedOn w:val="Normal"/>
    <w:next w:val="Normal"/>
    <w:link w:val="Heading6Char"/>
    <w:rsid w:val="00001320"/>
    <w:pPr>
      <w:numPr>
        <w:ilvl w:val="5"/>
        <w:numId w:val="3"/>
      </w:numPr>
      <w:spacing w:before="240" w:after="60"/>
      <w:outlineLvl w:val="5"/>
    </w:pPr>
    <w:rPr>
      <w:rFonts w:ascii="Cambria" w:hAnsi="Cambria"/>
      <w:b/>
      <w:bCs/>
      <w:szCs w:val="22"/>
    </w:rPr>
  </w:style>
  <w:style w:type="paragraph" w:styleId="Heading7">
    <w:name w:val="heading 7"/>
    <w:basedOn w:val="Normal"/>
    <w:next w:val="Normal"/>
    <w:link w:val="Heading7Char"/>
    <w:rsid w:val="00001320"/>
    <w:pPr>
      <w:numPr>
        <w:ilvl w:val="6"/>
        <w:numId w:val="3"/>
      </w:numPr>
      <w:spacing w:before="240" w:after="60"/>
      <w:outlineLvl w:val="6"/>
    </w:pPr>
    <w:rPr>
      <w:rFonts w:ascii="Cambria" w:hAnsi="Cambria"/>
      <w:sz w:val="24"/>
    </w:rPr>
  </w:style>
  <w:style w:type="paragraph" w:styleId="Heading8">
    <w:name w:val="heading 8"/>
    <w:basedOn w:val="Normal"/>
    <w:next w:val="Normal"/>
    <w:link w:val="Heading8Char"/>
    <w:rsid w:val="00001320"/>
    <w:pPr>
      <w:numPr>
        <w:ilvl w:val="7"/>
        <w:numId w:val="3"/>
      </w:numPr>
      <w:spacing w:before="240" w:after="60"/>
      <w:outlineLvl w:val="7"/>
    </w:pPr>
    <w:rPr>
      <w:rFonts w:ascii="Cambria" w:hAnsi="Cambria"/>
      <w:i/>
      <w:iCs/>
      <w:sz w:val="24"/>
    </w:rPr>
  </w:style>
  <w:style w:type="paragraph" w:styleId="Heading9">
    <w:name w:val="heading 9"/>
    <w:basedOn w:val="Normal"/>
    <w:next w:val="Normal"/>
    <w:link w:val="Heading9Char"/>
    <w:rsid w:val="00001320"/>
    <w:pPr>
      <w:numPr>
        <w:ilvl w:val="8"/>
        <w:numId w:val="3"/>
      </w:numPr>
      <w:spacing w:before="240" w:after="60"/>
      <w:outlineLvl w:val="8"/>
    </w:pPr>
    <w:rPr>
      <w:rFonts w:ascii="Calibri" w:hAnsi="Calibr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1320"/>
    <w:rPr>
      <w:rFonts w:ascii="Verdana" w:hAnsi="Verdana" w:cs="Arial"/>
      <w:iCs/>
      <w:kern w:val="32"/>
      <w:szCs w:val="28"/>
      <w:lang w:eastAsia="en-US"/>
    </w:rPr>
  </w:style>
  <w:style w:type="character" w:styleId="PageNumber">
    <w:name w:val="page number"/>
    <w:aliases w:val="ESPON Page No"/>
    <w:basedOn w:val="DefaultParagraphFont"/>
    <w:rsid w:val="00A15B61"/>
  </w:style>
  <w:style w:type="character" w:styleId="Hyperlink">
    <w:name w:val="Hyperlink"/>
    <w:basedOn w:val="DefaultParagraphFont"/>
    <w:rsid w:val="00A15B61"/>
    <w:rPr>
      <w:color w:val="0000FF"/>
      <w:u w:val="single"/>
    </w:rPr>
  </w:style>
  <w:style w:type="paragraph" w:customStyle="1" w:styleId="ESPONText">
    <w:name w:val="ESPON Text"/>
    <w:basedOn w:val="Normal"/>
    <w:rsid w:val="00A15B61"/>
    <w:pPr>
      <w:spacing w:line="320" w:lineRule="atLeast"/>
    </w:pPr>
    <w:rPr>
      <w:szCs w:val="20"/>
      <w:lang w:eastAsia="de-DE"/>
    </w:rPr>
  </w:style>
  <w:style w:type="paragraph" w:customStyle="1" w:styleId="ESPONColophon">
    <w:name w:val="ESPON Colophon"/>
    <w:basedOn w:val="Normal"/>
    <w:rsid w:val="00A15B61"/>
    <w:pPr>
      <w:spacing w:line="240" w:lineRule="atLeast"/>
      <w:ind w:right="5103"/>
    </w:pPr>
    <w:rPr>
      <w:sz w:val="16"/>
      <w:szCs w:val="20"/>
    </w:rPr>
  </w:style>
  <w:style w:type="paragraph" w:customStyle="1" w:styleId="ESPONSubtitle">
    <w:name w:val="ESPON Subtitle"/>
    <w:basedOn w:val="Normal"/>
    <w:next w:val="ESPONText"/>
    <w:rsid w:val="00A15B61"/>
    <w:pPr>
      <w:autoSpaceDE w:val="0"/>
      <w:autoSpaceDN w:val="0"/>
      <w:adjustRightInd w:val="0"/>
      <w:spacing w:before="120" w:after="240" w:line="320" w:lineRule="atLeast"/>
    </w:pPr>
    <w:rPr>
      <w:b/>
      <w:color w:val="000000"/>
      <w:sz w:val="32"/>
      <w:szCs w:val="20"/>
    </w:rPr>
  </w:style>
  <w:style w:type="paragraph" w:customStyle="1" w:styleId="ESPONTableHeading">
    <w:name w:val="ESPON Table Heading"/>
    <w:basedOn w:val="ESPONText"/>
    <w:next w:val="ESPONText"/>
    <w:rsid w:val="00A15B61"/>
    <w:pPr>
      <w:numPr>
        <w:numId w:val="1"/>
      </w:numPr>
      <w:tabs>
        <w:tab w:val="clear" w:pos="1440"/>
      </w:tabs>
      <w:spacing w:before="120" w:line="240" w:lineRule="atLeast"/>
      <w:jc w:val="left"/>
      <w:outlineLvl w:val="6"/>
    </w:pPr>
    <w:rPr>
      <w:b/>
      <w:lang w:eastAsia="en-US"/>
    </w:rPr>
  </w:style>
  <w:style w:type="paragraph" w:styleId="Header">
    <w:name w:val="header"/>
    <w:basedOn w:val="Normal"/>
    <w:rsid w:val="00A15B61"/>
    <w:pPr>
      <w:tabs>
        <w:tab w:val="center" w:pos="4320"/>
        <w:tab w:val="right" w:pos="8640"/>
      </w:tabs>
    </w:pPr>
  </w:style>
  <w:style w:type="paragraph" w:styleId="Footer">
    <w:name w:val="footer"/>
    <w:basedOn w:val="Normal"/>
    <w:link w:val="FooterChar"/>
    <w:rsid w:val="00A15B61"/>
    <w:pPr>
      <w:tabs>
        <w:tab w:val="center" w:pos="4320"/>
        <w:tab w:val="right" w:pos="8640"/>
      </w:tabs>
    </w:pPr>
  </w:style>
  <w:style w:type="table" w:styleId="TableGrid">
    <w:name w:val="Table Grid"/>
    <w:basedOn w:val="TableNormal"/>
    <w:rsid w:val="0084427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721B03"/>
    <w:rPr>
      <w:rFonts w:ascii="Tahoma" w:hAnsi="Tahoma" w:cs="Tahoma"/>
      <w:sz w:val="16"/>
      <w:szCs w:val="16"/>
    </w:rPr>
  </w:style>
  <w:style w:type="character" w:customStyle="1" w:styleId="BalloonTextChar">
    <w:name w:val="Balloon Text Char"/>
    <w:basedOn w:val="DefaultParagraphFont"/>
    <w:link w:val="BalloonText"/>
    <w:uiPriority w:val="99"/>
    <w:semiHidden/>
    <w:rsid w:val="00721B03"/>
    <w:rPr>
      <w:rFonts w:ascii="Tahoma" w:hAnsi="Tahoma" w:cs="Tahoma"/>
      <w:sz w:val="16"/>
      <w:szCs w:val="16"/>
      <w:lang w:val="en-GB"/>
    </w:rPr>
  </w:style>
  <w:style w:type="character" w:styleId="FootnoteReference">
    <w:name w:val="footnote reference"/>
    <w:basedOn w:val="DefaultParagraphFont"/>
    <w:semiHidden/>
    <w:rsid w:val="00C47ADC"/>
    <w:rPr>
      <w:sz w:val="20"/>
      <w:vertAlign w:val="superscript"/>
    </w:rPr>
  </w:style>
  <w:style w:type="paragraph" w:styleId="FootnoteText">
    <w:name w:val="footnote text"/>
    <w:link w:val="FootnoteTextChar"/>
    <w:semiHidden/>
    <w:rsid w:val="00FD6260"/>
    <w:pPr>
      <w:jc w:val="both"/>
    </w:pPr>
    <w:rPr>
      <w:rFonts w:ascii="Arial" w:hAnsi="Arial"/>
      <w:sz w:val="18"/>
      <w:lang w:val="en-GB" w:eastAsia="en-US"/>
    </w:rPr>
  </w:style>
  <w:style w:type="character" w:customStyle="1" w:styleId="FootnoteTextChar">
    <w:name w:val="Footnote Text Char"/>
    <w:basedOn w:val="DefaultParagraphFont"/>
    <w:link w:val="FootnoteText"/>
    <w:semiHidden/>
    <w:rsid w:val="00FD6260"/>
    <w:rPr>
      <w:rFonts w:ascii="Arial" w:hAnsi="Arial"/>
      <w:sz w:val="18"/>
      <w:lang w:val="en-GB" w:eastAsia="en-US"/>
    </w:rPr>
  </w:style>
  <w:style w:type="paragraph" w:customStyle="1" w:styleId="ESPONFigureHeading">
    <w:name w:val="ESPON Figure Heading"/>
    <w:basedOn w:val="ESPONText"/>
    <w:next w:val="ESPONText"/>
    <w:rsid w:val="00C47ADC"/>
    <w:pPr>
      <w:spacing w:before="120" w:line="240" w:lineRule="atLeast"/>
      <w:ind w:left="1134" w:hanging="1134"/>
      <w:outlineLvl w:val="6"/>
    </w:pPr>
    <w:rPr>
      <w:b/>
    </w:rPr>
  </w:style>
  <w:style w:type="paragraph" w:customStyle="1" w:styleId="ESPONMapHeading">
    <w:name w:val="ESPON Map Heading"/>
    <w:basedOn w:val="ESPONText"/>
    <w:next w:val="Normal"/>
    <w:rsid w:val="00C47ADC"/>
    <w:pPr>
      <w:numPr>
        <w:numId w:val="2"/>
      </w:numPr>
      <w:spacing w:before="120" w:line="240" w:lineRule="atLeast"/>
      <w:jc w:val="left"/>
      <w:outlineLvl w:val="6"/>
    </w:pPr>
    <w:rPr>
      <w:b/>
      <w:lang w:eastAsia="en-US"/>
    </w:rPr>
  </w:style>
  <w:style w:type="character" w:customStyle="1" w:styleId="FooterChar">
    <w:name w:val="Footer Char"/>
    <w:basedOn w:val="DefaultParagraphFont"/>
    <w:link w:val="Footer"/>
    <w:rsid w:val="0047467F"/>
    <w:rPr>
      <w:rFonts w:ascii="Verdana" w:hAnsi="Verdana"/>
      <w:sz w:val="24"/>
      <w:szCs w:val="24"/>
      <w:lang w:val="en-GB"/>
    </w:rPr>
  </w:style>
  <w:style w:type="character" w:customStyle="1" w:styleId="Heading1Char">
    <w:name w:val="Heading 1 Char"/>
    <w:basedOn w:val="DefaultParagraphFont"/>
    <w:link w:val="Heading1"/>
    <w:rsid w:val="00001320"/>
    <w:rPr>
      <w:rFonts w:ascii="Verdana" w:hAnsi="Verdana"/>
      <w:b/>
      <w:bCs/>
      <w:kern w:val="32"/>
      <w:sz w:val="28"/>
      <w:szCs w:val="32"/>
      <w:lang w:val="en-GB" w:eastAsia="en-US"/>
    </w:rPr>
  </w:style>
  <w:style w:type="character" w:customStyle="1" w:styleId="Heading3Char">
    <w:name w:val="Heading 3 Char"/>
    <w:basedOn w:val="DefaultParagraphFont"/>
    <w:link w:val="Heading3"/>
    <w:rsid w:val="00946375"/>
    <w:rPr>
      <w:rFonts w:ascii="Verdana" w:hAnsi="Verdana"/>
      <w:b/>
      <w:bCs/>
      <w:sz w:val="22"/>
      <w:szCs w:val="26"/>
      <w:lang w:val="en-GB" w:eastAsia="en-US"/>
    </w:rPr>
  </w:style>
  <w:style w:type="character" w:customStyle="1" w:styleId="Heading4Char">
    <w:name w:val="Heading 4 Char"/>
    <w:basedOn w:val="DefaultParagraphFont"/>
    <w:link w:val="Heading4"/>
    <w:rsid w:val="00001320"/>
    <w:rPr>
      <w:rFonts w:ascii="Cambria" w:hAnsi="Cambria"/>
      <w:b/>
      <w:bCs/>
      <w:sz w:val="28"/>
      <w:szCs w:val="28"/>
      <w:lang w:val="en-GB" w:eastAsia="en-US"/>
    </w:rPr>
  </w:style>
  <w:style w:type="character" w:customStyle="1" w:styleId="Heading5Char">
    <w:name w:val="Heading 5 Char"/>
    <w:basedOn w:val="DefaultParagraphFont"/>
    <w:link w:val="Heading5"/>
    <w:rsid w:val="00001320"/>
    <w:rPr>
      <w:rFonts w:ascii="Cambria" w:hAnsi="Cambria"/>
      <w:b/>
      <w:bCs/>
      <w:i/>
      <w:iCs/>
      <w:sz w:val="26"/>
      <w:szCs w:val="26"/>
      <w:lang w:val="en-GB" w:eastAsia="en-US"/>
    </w:rPr>
  </w:style>
  <w:style w:type="character" w:customStyle="1" w:styleId="Heading6Char">
    <w:name w:val="Heading 6 Char"/>
    <w:basedOn w:val="DefaultParagraphFont"/>
    <w:link w:val="Heading6"/>
    <w:rsid w:val="00001320"/>
    <w:rPr>
      <w:rFonts w:ascii="Cambria" w:hAnsi="Cambria"/>
      <w:b/>
      <w:bCs/>
      <w:sz w:val="20"/>
      <w:szCs w:val="22"/>
      <w:lang w:val="en-GB" w:eastAsia="en-US"/>
    </w:rPr>
  </w:style>
  <w:style w:type="character" w:customStyle="1" w:styleId="Heading7Char">
    <w:name w:val="Heading 7 Char"/>
    <w:basedOn w:val="DefaultParagraphFont"/>
    <w:link w:val="Heading7"/>
    <w:rsid w:val="00001320"/>
    <w:rPr>
      <w:rFonts w:ascii="Cambria" w:hAnsi="Cambria"/>
      <w:lang w:val="en-GB" w:eastAsia="en-US"/>
    </w:rPr>
  </w:style>
  <w:style w:type="character" w:customStyle="1" w:styleId="Heading8Char">
    <w:name w:val="Heading 8 Char"/>
    <w:basedOn w:val="DefaultParagraphFont"/>
    <w:link w:val="Heading8"/>
    <w:rsid w:val="00001320"/>
    <w:rPr>
      <w:rFonts w:ascii="Cambria" w:hAnsi="Cambria"/>
      <w:i/>
      <w:iCs/>
      <w:lang w:val="en-GB" w:eastAsia="en-US"/>
    </w:rPr>
  </w:style>
  <w:style w:type="character" w:customStyle="1" w:styleId="Heading9Char">
    <w:name w:val="Heading 9 Char"/>
    <w:basedOn w:val="DefaultParagraphFont"/>
    <w:link w:val="Heading9"/>
    <w:rsid w:val="00001320"/>
    <w:rPr>
      <w:rFonts w:ascii="Calibri" w:hAnsi="Calibri"/>
      <w:sz w:val="20"/>
      <w:szCs w:val="22"/>
      <w:lang w:val="en-GB" w:eastAsia="en-US"/>
    </w:rPr>
  </w:style>
  <w:style w:type="paragraph" w:styleId="ListParagraph">
    <w:name w:val="List Paragraph"/>
    <w:basedOn w:val="Normal"/>
    <w:qFormat/>
    <w:rsid w:val="00B969F0"/>
    <w:pPr>
      <w:ind w:left="720"/>
      <w:contextualSpacing/>
    </w:pPr>
  </w:style>
  <w:style w:type="character" w:styleId="CommentReference">
    <w:name w:val="annotation reference"/>
    <w:basedOn w:val="DefaultParagraphFont"/>
    <w:rsid w:val="004933BE"/>
    <w:rPr>
      <w:sz w:val="16"/>
      <w:szCs w:val="16"/>
    </w:rPr>
  </w:style>
  <w:style w:type="paragraph" w:styleId="CommentText">
    <w:name w:val="annotation text"/>
    <w:basedOn w:val="Normal"/>
    <w:link w:val="CommentTextChar"/>
    <w:rsid w:val="004933BE"/>
    <w:pPr>
      <w:spacing w:line="240" w:lineRule="auto"/>
    </w:pPr>
    <w:rPr>
      <w:szCs w:val="20"/>
    </w:rPr>
  </w:style>
  <w:style w:type="character" w:customStyle="1" w:styleId="CommentTextChar">
    <w:name w:val="Comment Text Char"/>
    <w:basedOn w:val="DefaultParagraphFont"/>
    <w:link w:val="CommentText"/>
    <w:rsid w:val="004933BE"/>
    <w:rPr>
      <w:rFonts w:ascii="Verdana" w:hAnsi="Verdana"/>
      <w:sz w:val="20"/>
      <w:szCs w:val="20"/>
      <w:lang w:val="en-GB" w:eastAsia="en-US"/>
    </w:rPr>
  </w:style>
  <w:style w:type="paragraph" w:styleId="CommentSubject">
    <w:name w:val="annotation subject"/>
    <w:basedOn w:val="CommentText"/>
    <w:next w:val="CommentText"/>
    <w:link w:val="CommentSubjectChar"/>
    <w:rsid w:val="004933BE"/>
    <w:rPr>
      <w:b/>
      <w:bCs/>
    </w:rPr>
  </w:style>
  <w:style w:type="character" w:customStyle="1" w:styleId="CommentSubjectChar">
    <w:name w:val="Comment Subject Char"/>
    <w:basedOn w:val="CommentTextChar"/>
    <w:link w:val="CommentSubject"/>
    <w:rsid w:val="004933BE"/>
    <w:rPr>
      <w:rFonts w:ascii="Verdana" w:hAnsi="Verdana"/>
      <w:b/>
      <w:bCs/>
      <w:sz w:val="20"/>
      <w:szCs w:val="20"/>
      <w:lang w:val="en-GB" w:eastAsia="en-US"/>
    </w:rPr>
  </w:style>
  <w:style w:type="paragraph" w:customStyle="1" w:styleId="Default">
    <w:name w:val="Default"/>
    <w:rsid w:val="00BD051A"/>
    <w:pPr>
      <w:autoSpaceDE w:val="0"/>
      <w:autoSpaceDN w:val="0"/>
      <w:adjustRightInd w:val="0"/>
    </w:pPr>
    <w:rPr>
      <w:rFonts w:ascii="Arial" w:eastAsiaTheme="minorHAnsi" w:hAnsi="Arial" w:cs="Arial"/>
      <w:color w:val="000000"/>
      <w:lang w:val="fr-FR" w:eastAsia="en-US"/>
    </w:rPr>
  </w:style>
  <w:style w:type="paragraph" w:styleId="Caption">
    <w:name w:val="caption"/>
    <w:basedOn w:val="Normal"/>
    <w:next w:val="Normal"/>
    <w:rsid w:val="00E04EC2"/>
    <w:pPr>
      <w:spacing w:after="200" w:line="240" w:lineRule="auto"/>
    </w:pPr>
    <w:rPr>
      <w:b/>
      <w:bCs/>
      <w:szCs w:val="18"/>
    </w:rPr>
  </w:style>
  <w:style w:type="paragraph" w:styleId="NormalWeb">
    <w:name w:val="Normal (Web)"/>
    <w:basedOn w:val="Normal"/>
    <w:uiPriority w:val="99"/>
    <w:unhideWhenUsed/>
    <w:rsid w:val="002D1443"/>
    <w:pPr>
      <w:spacing w:before="100" w:beforeAutospacing="1" w:after="100" w:afterAutospacing="1" w:line="240" w:lineRule="auto"/>
      <w:jc w:val="left"/>
    </w:pPr>
    <w:rPr>
      <w:rFonts w:ascii="Times New Roman" w:hAnsi="Times New Roman"/>
      <w:sz w:val="24"/>
      <w:lang w:val="it-IT" w:eastAsia="it-IT"/>
    </w:rPr>
  </w:style>
  <w:style w:type="paragraph" w:styleId="Revision">
    <w:name w:val="Revision"/>
    <w:hidden/>
    <w:rsid w:val="00086387"/>
    <w:rPr>
      <w:rFonts w:ascii="Verdana" w:hAnsi="Verdana"/>
      <w:sz w:val="20"/>
      <w:lang w:val="en-GB" w:eastAsia="en-US"/>
    </w:rPr>
  </w:style>
  <w:style w:type="character" w:styleId="FollowedHyperlink">
    <w:name w:val="FollowedHyperlink"/>
    <w:basedOn w:val="DefaultParagraphFont"/>
    <w:rsid w:val="00A02FD6"/>
    <w:rPr>
      <w:color w:val="800080" w:themeColor="followedHyperlink"/>
      <w:u w:val="single"/>
    </w:rPr>
  </w:style>
  <w:style w:type="character" w:customStyle="1" w:styleId="apple-converted-space">
    <w:name w:val="apple-converted-space"/>
    <w:basedOn w:val="DefaultParagraphFont"/>
    <w:rsid w:val="00654361"/>
  </w:style>
  <w:style w:type="character" w:customStyle="1" w:styleId="hps">
    <w:name w:val="hps"/>
    <w:basedOn w:val="DefaultParagraphFont"/>
    <w:rsid w:val="004F0F1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en-US" w:eastAsia="de-DE" w:bidi="ar-SA"/>
      </w:rPr>
    </w:rPrDefault>
    <w:pPrDefault/>
  </w:docDefaults>
  <w:latentStyles w:defLockedState="0" w:defUIPriority="0" w:defSemiHidden="0" w:defUnhideWhenUsed="0" w:defQFormat="0" w:count="267">
    <w:lsdException w:name="heading 1" w:qFormat="1"/>
    <w:lsdException w:name="heading 2" w:qFormat="1"/>
    <w:lsdException w:name="Normal (Web)" w:uiPriority="99"/>
    <w:lsdException w:name="List Paragraph" w:uiPriority="34" w:qFormat="1"/>
  </w:latentStyles>
  <w:style w:type="paragraph" w:default="1" w:styleId="Normal">
    <w:name w:val="Normal"/>
    <w:qFormat/>
    <w:rsid w:val="00E21E7C"/>
    <w:pPr>
      <w:spacing w:after="120" w:line="240" w:lineRule="exact"/>
      <w:jc w:val="both"/>
    </w:pPr>
    <w:rPr>
      <w:rFonts w:ascii="Verdana" w:hAnsi="Verdana"/>
      <w:sz w:val="20"/>
      <w:lang w:val="en-GB" w:eastAsia="en-US"/>
    </w:rPr>
  </w:style>
  <w:style w:type="paragraph" w:styleId="Rubrik1">
    <w:name w:val="heading 1"/>
    <w:basedOn w:val="Normal"/>
    <w:next w:val="Normal"/>
    <w:link w:val="Rubrik1Char"/>
    <w:autoRedefine/>
    <w:qFormat/>
    <w:rsid w:val="00001320"/>
    <w:pPr>
      <w:keepNext/>
      <w:numPr>
        <w:numId w:val="3"/>
      </w:numPr>
      <w:spacing w:before="120" w:line="240" w:lineRule="auto"/>
      <w:outlineLvl w:val="0"/>
    </w:pPr>
    <w:rPr>
      <w:b/>
      <w:bCs/>
      <w:kern w:val="32"/>
      <w:sz w:val="28"/>
      <w:szCs w:val="32"/>
    </w:rPr>
  </w:style>
  <w:style w:type="paragraph" w:styleId="Rubrik2">
    <w:name w:val="heading 2"/>
    <w:basedOn w:val="Rubrik1"/>
    <w:next w:val="Normal"/>
    <w:link w:val="Rubrik2Char"/>
    <w:qFormat/>
    <w:rsid w:val="00001320"/>
    <w:pPr>
      <w:numPr>
        <w:ilvl w:val="1"/>
      </w:numPr>
      <w:outlineLvl w:val="1"/>
    </w:pPr>
    <w:rPr>
      <w:rFonts w:cs="Arial"/>
      <w:b w:val="0"/>
      <w:bCs w:val="0"/>
      <w:iCs/>
      <w:sz w:val="24"/>
      <w:szCs w:val="28"/>
      <w:lang w:val="en-US"/>
    </w:rPr>
  </w:style>
  <w:style w:type="paragraph" w:styleId="Rubrik3">
    <w:name w:val="heading 3"/>
    <w:basedOn w:val="Normal"/>
    <w:next w:val="Normal"/>
    <w:link w:val="Rubrik3Char"/>
    <w:rsid w:val="00946375"/>
    <w:pPr>
      <w:keepNext/>
      <w:spacing w:before="240" w:after="60"/>
      <w:outlineLvl w:val="2"/>
    </w:pPr>
    <w:rPr>
      <w:b/>
      <w:bCs/>
      <w:sz w:val="22"/>
      <w:szCs w:val="26"/>
    </w:rPr>
  </w:style>
  <w:style w:type="paragraph" w:styleId="Rubrik4">
    <w:name w:val="heading 4"/>
    <w:basedOn w:val="Normal"/>
    <w:next w:val="Normal"/>
    <w:link w:val="Rubrik4Char"/>
    <w:rsid w:val="00001320"/>
    <w:pPr>
      <w:keepNext/>
      <w:numPr>
        <w:ilvl w:val="3"/>
        <w:numId w:val="3"/>
      </w:numPr>
      <w:spacing w:before="240" w:after="60"/>
      <w:outlineLvl w:val="3"/>
    </w:pPr>
    <w:rPr>
      <w:rFonts w:ascii="Cambria" w:hAnsi="Cambria"/>
      <w:b/>
      <w:bCs/>
      <w:sz w:val="28"/>
      <w:szCs w:val="28"/>
    </w:rPr>
  </w:style>
  <w:style w:type="paragraph" w:styleId="Rubrik5">
    <w:name w:val="heading 5"/>
    <w:basedOn w:val="Normal"/>
    <w:next w:val="Normal"/>
    <w:link w:val="Rubrik5Char"/>
    <w:rsid w:val="00001320"/>
    <w:pPr>
      <w:numPr>
        <w:ilvl w:val="4"/>
        <w:numId w:val="3"/>
      </w:numPr>
      <w:spacing w:before="240" w:after="60"/>
      <w:outlineLvl w:val="4"/>
    </w:pPr>
    <w:rPr>
      <w:rFonts w:ascii="Cambria" w:hAnsi="Cambria"/>
      <w:b/>
      <w:bCs/>
      <w:i/>
      <w:iCs/>
      <w:sz w:val="26"/>
      <w:szCs w:val="26"/>
    </w:rPr>
  </w:style>
  <w:style w:type="paragraph" w:styleId="Rubrik6">
    <w:name w:val="heading 6"/>
    <w:basedOn w:val="Normal"/>
    <w:next w:val="Normal"/>
    <w:link w:val="Rubrik6Char"/>
    <w:rsid w:val="00001320"/>
    <w:pPr>
      <w:numPr>
        <w:ilvl w:val="5"/>
        <w:numId w:val="3"/>
      </w:numPr>
      <w:spacing w:before="240" w:after="60"/>
      <w:outlineLvl w:val="5"/>
    </w:pPr>
    <w:rPr>
      <w:rFonts w:ascii="Cambria" w:hAnsi="Cambria"/>
      <w:b/>
      <w:bCs/>
      <w:szCs w:val="22"/>
    </w:rPr>
  </w:style>
  <w:style w:type="paragraph" w:styleId="Rubrik7">
    <w:name w:val="heading 7"/>
    <w:basedOn w:val="Normal"/>
    <w:next w:val="Normal"/>
    <w:link w:val="Rubrik7Char"/>
    <w:rsid w:val="00001320"/>
    <w:pPr>
      <w:numPr>
        <w:ilvl w:val="6"/>
        <w:numId w:val="3"/>
      </w:numPr>
      <w:spacing w:before="240" w:after="60"/>
      <w:outlineLvl w:val="6"/>
    </w:pPr>
    <w:rPr>
      <w:rFonts w:ascii="Cambria" w:hAnsi="Cambria"/>
      <w:sz w:val="24"/>
    </w:rPr>
  </w:style>
  <w:style w:type="paragraph" w:styleId="Rubrik8">
    <w:name w:val="heading 8"/>
    <w:basedOn w:val="Normal"/>
    <w:next w:val="Normal"/>
    <w:link w:val="Rubrik8Char"/>
    <w:rsid w:val="00001320"/>
    <w:pPr>
      <w:numPr>
        <w:ilvl w:val="7"/>
        <w:numId w:val="3"/>
      </w:numPr>
      <w:spacing w:before="240" w:after="60"/>
      <w:outlineLvl w:val="7"/>
    </w:pPr>
    <w:rPr>
      <w:rFonts w:ascii="Cambria" w:hAnsi="Cambria"/>
      <w:i/>
      <w:iCs/>
      <w:sz w:val="24"/>
    </w:rPr>
  </w:style>
  <w:style w:type="paragraph" w:styleId="Rubrik9">
    <w:name w:val="heading 9"/>
    <w:basedOn w:val="Normal"/>
    <w:next w:val="Normal"/>
    <w:link w:val="Rubrik9Char"/>
    <w:rsid w:val="00001320"/>
    <w:pPr>
      <w:numPr>
        <w:ilvl w:val="8"/>
        <w:numId w:val="3"/>
      </w:numPr>
      <w:spacing w:before="240" w:after="60"/>
      <w:outlineLvl w:val="8"/>
    </w:pPr>
    <w:rPr>
      <w:rFonts w:ascii="Calibri" w:hAnsi="Calibri"/>
      <w:szCs w:val="22"/>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2Char">
    <w:name w:val="Rubrik 2 Char"/>
    <w:basedOn w:val="Standardstycketeckensnitt"/>
    <w:link w:val="Rubrik2"/>
    <w:rsid w:val="00001320"/>
    <w:rPr>
      <w:rFonts w:ascii="Verdana" w:hAnsi="Verdana" w:cs="Arial"/>
      <w:iCs/>
      <w:kern w:val="32"/>
      <w:szCs w:val="28"/>
      <w:lang w:eastAsia="en-US"/>
    </w:rPr>
  </w:style>
  <w:style w:type="character" w:styleId="Sidnummer">
    <w:name w:val="page number"/>
    <w:aliases w:val="ESPON Page No"/>
    <w:basedOn w:val="Standardstycketeckensnitt"/>
    <w:rsid w:val="00A15B61"/>
  </w:style>
  <w:style w:type="character" w:styleId="Hyperlnk">
    <w:name w:val="Hyperlink"/>
    <w:basedOn w:val="Standardstycketeckensnitt"/>
    <w:rsid w:val="00A15B61"/>
    <w:rPr>
      <w:color w:val="0000FF"/>
      <w:u w:val="single"/>
    </w:rPr>
  </w:style>
  <w:style w:type="paragraph" w:customStyle="1" w:styleId="ESPONText">
    <w:name w:val="ESPON Text"/>
    <w:basedOn w:val="Normal"/>
    <w:rsid w:val="00A15B61"/>
    <w:pPr>
      <w:spacing w:line="320" w:lineRule="atLeast"/>
    </w:pPr>
    <w:rPr>
      <w:szCs w:val="20"/>
      <w:lang w:eastAsia="de-DE"/>
    </w:rPr>
  </w:style>
  <w:style w:type="paragraph" w:customStyle="1" w:styleId="ESPONColophon">
    <w:name w:val="ESPON Colophon"/>
    <w:basedOn w:val="Normal"/>
    <w:rsid w:val="00A15B61"/>
    <w:pPr>
      <w:spacing w:line="240" w:lineRule="atLeast"/>
      <w:ind w:right="5103"/>
    </w:pPr>
    <w:rPr>
      <w:sz w:val="16"/>
      <w:szCs w:val="20"/>
    </w:rPr>
  </w:style>
  <w:style w:type="paragraph" w:customStyle="1" w:styleId="ESPONSubtitle">
    <w:name w:val="ESPON Subtitle"/>
    <w:basedOn w:val="Normal"/>
    <w:next w:val="ESPONText"/>
    <w:rsid w:val="00A15B61"/>
    <w:pPr>
      <w:autoSpaceDE w:val="0"/>
      <w:autoSpaceDN w:val="0"/>
      <w:adjustRightInd w:val="0"/>
      <w:spacing w:before="120" w:after="240" w:line="320" w:lineRule="atLeast"/>
    </w:pPr>
    <w:rPr>
      <w:b/>
      <w:color w:val="000000"/>
      <w:sz w:val="32"/>
      <w:szCs w:val="20"/>
    </w:rPr>
  </w:style>
  <w:style w:type="paragraph" w:customStyle="1" w:styleId="ESPONTableHeading">
    <w:name w:val="ESPON Table Heading"/>
    <w:basedOn w:val="ESPONText"/>
    <w:next w:val="ESPONText"/>
    <w:rsid w:val="00A15B61"/>
    <w:pPr>
      <w:numPr>
        <w:numId w:val="1"/>
      </w:numPr>
      <w:tabs>
        <w:tab w:val="clear" w:pos="1440"/>
      </w:tabs>
      <w:spacing w:before="120" w:line="240" w:lineRule="atLeast"/>
      <w:jc w:val="left"/>
      <w:outlineLvl w:val="6"/>
    </w:pPr>
    <w:rPr>
      <w:b/>
      <w:lang w:eastAsia="en-US"/>
    </w:rPr>
  </w:style>
  <w:style w:type="paragraph" w:styleId="Sidhuvud">
    <w:name w:val="header"/>
    <w:basedOn w:val="Normal"/>
    <w:rsid w:val="00A15B61"/>
    <w:pPr>
      <w:tabs>
        <w:tab w:val="center" w:pos="4320"/>
        <w:tab w:val="right" w:pos="8640"/>
      </w:tabs>
    </w:pPr>
  </w:style>
  <w:style w:type="paragraph" w:styleId="Sidfot">
    <w:name w:val="footer"/>
    <w:basedOn w:val="Normal"/>
    <w:link w:val="SidfotChar"/>
    <w:rsid w:val="00A15B61"/>
    <w:pPr>
      <w:tabs>
        <w:tab w:val="center" w:pos="4320"/>
        <w:tab w:val="right" w:pos="8640"/>
      </w:tabs>
    </w:pPr>
  </w:style>
  <w:style w:type="table" w:styleId="Tabellrutnt">
    <w:name w:val="Table Grid"/>
    <w:basedOn w:val="Normaltabell"/>
    <w:rsid w:val="0084427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ngtext">
    <w:name w:val="Balloon Text"/>
    <w:basedOn w:val="Normal"/>
    <w:link w:val="BallongtextChar"/>
    <w:uiPriority w:val="99"/>
    <w:semiHidden/>
    <w:unhideWhenUsed/>
    <w:rsid w:val="00721B03"/>
    <w:rPr>
      <w:rFonts w:ascii="Tahoma" w:hAnsi="Tahoma" w:cs="Tahoma"/>
      <w:sz w:val="16"/>
      <w:szCs w:val="16"/>
    </w:rPr>
  </w:style>
  <w:style w:type="character" w:customStyle="1" w:styleId="BallongtextChar">
    <w:name w:val="Ballongtext Char"/>
    <w:basedOn w:val="Standardstycketeckensnitt"/>
    <w:link w:val="Ballongtext"/>
    <w:uiPriority w:val="99"/>
    <w:semiHidden/>
    <w:rsid w:val="00721B03"/>
    <w:rPr>
      <w:rFonts w:ascii="Tahoma" w:hAnsi="Tahoma" w:cs="Tahoma"/>
      <w:sz w:val="16"/>
      <w:szCs w:val="16"/>
      <w:lang w:val="en-GB"/>
    </w:rPr>
  </w:style>
  <w:style w:type="character" w:styleId="Fotnotsreferens">
    <w:name w:val="footnote reference"/>
    <w:basedOn w:val="Standardstycketeckensnitt"/>
    <w:semiHidden/>
    <w:rsid w:val="00C47ADC"/>
    <w:rPr>
      <w:sz w:val="20"/>
      <w:vertAlign w:val="superscript"/>
    </w:rPr>
  </w:style>
  <w:style w:type="paragraph" w:styleId="Fotnotstext">
    <w:name w:val="footnote text"/>
    <w:link w:val="FotnotstextChar"/>
    <w:semiHidden/>
    <w:rsid w:val="00FD6260"/>
    <w:pPr>
      <w:jc w:val="both"/>
    </w:pPr>
    <w:rPr>
      <w:rFonts w:ascii="Arial" w:hAnsi="Arial"/>
      <w:sz w:val="18"/>
      <w:lang w:val="en-GB" w:eastAsia="en-US"/>
    </w:rPr>
  </w:style>
  <w:style w:type="character" w:customStyle="1" w:styleId="FotnotstextChar">
    <w:name w:val="Fotnotstext Char"/>
    <w:basedOn w:val="Standardstycketeckensnitt"/>
    <w:link w:val="Fotnotstext"/>
    <w:semiHidden/>
    <w:rsid w:val="00FD6260"/>
    <w:rPr>
      <w:rFonts w:ascii="Arial" w:hAnsi="Arial"/>
      <w:sz w:val="18"/>
      <w:lang w:val="en-GB" w:eastAsia="en-US"/>
    </w:rPr>
  </w:style>
  <w:style w:type="paragraph" w:customStyle="1" w:styleId="ESPONFigureHeading">
    <w:name w:val="ESPON Figure Heading"/>
    <w:basedOn w:val="ESPONText"/>
    <w:next w:val="ESPONText"/>
    <w:rsid w:val="00C47ADC"/>
    <w:pPr>
      <w:spacing w:before="120" w:line="240" w:lineRule="atLeast"/>
      <w:ind w:left="1134" w:hanging="1134"/>
      <w:outlineLvl w:val="6"/>
    </w:pPr>
    <w:rPr>
      <w:b/>
    </w:rPr>
  </w:style>
  <w:style w:type="paragraph" w:customStyle="1" w:styleId="ESPONMapHeading">
    <w:name w:val="ESPON Map Heading"/>
    <w:basedOn w:val="ESPONText"/>
    <w:next w:val="Normal"/>
    <w:rsid w:val="00C47ADC"/>
    <w:pPr>
      <w:numPr>
        <w:numId w:val="2"/>
      </w:numPr>
      <w:spacing w:before="120" w:line="240" w:lineRule="atLeast"/>
      <w:jc w:val="left"/>
      <w:outlineLvl w:val="6"/>
    </w:pPr>
    <w:rPr>
      <w:b/>
      <w:lang w:eastAsia="en-US"/>
    </w:rPr>
  </w:style>
  <w:style w:type="character" w:customStyle="1" w:styleId="SidfotChar">
    <w:name w:val="Sidfot Char"/>
    <w:basedOn w:val="Standardstycketeckensnitt"/>
    <w:link w:val="Sidfot"/>
    <w:rsid w:val="0047467F"/>
    <w:rPr>
      <w:rFonts w:ascii="Verdana" w:hAnsi="Verdana"/>
      <w:sz w:val="24"/>
      <w:szCs w:val="24"/>
      <w:lang w:val="en-GB"/>
    </w:rPr>
  </w:style>
  <w:style w:type="character" w:customStyle="1" w:styleId="Rubrik1Char">
    <w:name w:val="Rubrik 1 Char"/>
    <w:basedOn w:val="Standardstycketeckensnitt"/>
    <w:link w:val="Rubrik1"/>
    <w:rsid w:val="00001320"/>
    <w:rPr>
      <w:rFonts w:ascii="Verdana" w:hAnsi="Verdana"/>
      <w:b/>
      <w:bCs/>
      <w:kern w:val="32"/>
      <w:sz w:val="28"/>
      <w:szCs w:val="32"/>
      <w:lang w:val="en-GB" w:eastAsia="en-US"/>
    </w:rPr>
  </w:style>
  <w:style w:type="character" w:customStyle="1" w:styleId="Rubrik3Char">
    <w:name w:val="Rubrik 3 Char"/>
    <w:basedOn w:val="Standardstycketeckensnitt"/>
    <w:link w:val="Rubrik3"/>
    <w:rsid w:val="00946375"/>
    <w:rPr>
      <w:rFonts w:ascii="Verdana" w:hAnsi="Verdana"/>
      <w:b/>
      <w:bCs/>
      <w:sz w:val="22"/>
      <w:szCs w:val="26"/>
      <w:lang w:val="en-GB" w:eastAsia="en-US"/>
    </w:rPr>
  </w:style>
  <w:style w:type="character" w:customStyle="1" w:styleId="Rubrik4Char">
    <w:name w:val="Rubrik 4 Char"/>
    <w:basedOn w:val="Standardstycketeckensnitt"/>
    <w:link w:val="Rubrik4"/>
    <w:rsid w:val="00001320"/>
    <w:rPr>
      <w:rFonts w:ascii="Cambria" w:hAnsi="Cambria"/>
      <w:b/>
      <w:bCs/>
      <w:sz w:val="28"/>
      <w:szCs w:val="28"/>
      <w:lang w:val="en-GB" w:eastAsia="en-US"/>
    </w:rPr>
  </w:style>
  <w:style w:type="character" w:customStyle="1" w:styleId="Rubrik5Char">
    <w:name w:val="Rubrik 5 Char"/>
    <w:basedOn w:val="Standardstycketeckensnitt"/>
    <w:link w:val="Rubrik5"/>
    <w:rsid w:val="00001320"/>
    <w:rPr>
      <w:rFonts w:ascii="Cambria" w:hAnsi="Cambria"/>
      <w:b/>
      <w:bCs/>
      <w:i/>
      <w:iCs/>
      <w:sz w:val="26"/>
      <w:szCs w:val="26"/>
      <w:lang w:val="en-GB" w:eastAsia="en-US"/>
    </w:rPr>
  </w:style>
  <w:style w:type="character" w:customStyle="1" w:styleId="Rubrik6Char">
    <w:name w:val="Rubrik 6 Char"/>
    <w:basedOn w:val="Standardstycketeckensnitt"/>
    <w:link w:val="Rubrik6"/>
    <w:rsid w:val="00001320"/>
    <w:rPr>
      <w:rFonts w:ascii="Cambria" w:hAnsi="Cambria"/>
      <w:b/>
      <w:bCs/>
      <w:sz w:val="20"/>
      <w:szCs w:val="22"/>
      <w:lang w:val="en-GB" w:eastAsia="en-US"/>
    </w:rPr>
  </w:style>
  <w:style w:type="character" w:customStyle="1" w:styleId="Rubrik7Char">
    <w:name w:val="Rubrik 7 Char"/>
    <w:basedOn w:val="Standardstycketeckensnitt"/>
    <w:link w:val="Rubrik7"/>
    <w:rsid w:val="00001320"/>
    <w:rPr>
      <w:rFonts w:ascii="Cambria" w:hAnsi="Cambria"/>
      <w:lang w:val="en-GB" w:eastAsia="en-US"/>
    </w:rPr>
  </w:style>
  <w:style w:type="character" w:customStyle="1" w:styleId="Rubrik8Char">
    <w:name w:val="Rubrik 8 Char"/>
    <w:basedOn w:val="Standardstycketeckensnitt"/>
    <w:link w:val="Rubrik8"/>
    <w:rsid w:val="00001320"/>
    <w:rPr>
      <w:rFonts w:ascii="Cambria" w:hAnsi="Cambria"/>
      <w:i/>
      <w:iCs/>
      <w:lang w:val="en-GB" w:eastAsia="en-US"/>
    </w:rPr>
  </w:style>
  <w:style w:type="character" w:customStyle="1" w:styleId="Rubrik9Char">
    <w:name w:val="Rubrik 9 Char"/>
    <w:basedOn w:val="Standardstycketeckensnitt"/>
    <w:link w:val="Rubrik9"/>
    <w:rsid w:val="00001320"/>
    <w:rPr>
      <w:rFonts w:ascii="Calibri" w:hAnsi="Calibri"/>
      <w:sz w:val="20"/>
      <w:szCs w:val="22"/>
      <w:lang w:val="en-GB" w:eastAsia="en-US"/>
    </w:rPr>
  </w:style>
  <w:style w:type="paragraph" w:styleId="Liststycke">
    <w:name w:val="List Paragraph"/>
    <w:basedOn w:val="Normal"/>
    <w:uiPriority w:val="34"/>
    <w:qFormat/>
    <w:rsid w:val="00B969F0"/>
    <w:pPr>
      <w:ind w:left="720"/>
      <w:contextualSpacing/>
    </w:pPr>
  </w:style>
  <w:style w:type="character" w:styleId="Kommentarsreferens">
    <w:name w:val="annotation reference"/>
    <w:basedOn w:val="Standardstycketeckensnitt"/>
    <w:rsid w:val="004933BE"/>
    <w:rPr>
      <w:sz w:val="16"/>
      <w:szCs w:val="16"/>
    </w:rPr>
  </w:style>
  <w:style w:type="paragraph" w:styleId="Kommentarer">
    <w:name w:val="annotation text"/>
    <w:basedOn w:val="Normal"/>
    <w:link w:val="KommentarerChar"/>
    <w:rsid w:val="004933BE"/>
    <w:pPr>
      <w:spacing w:line="240" w:lineRule="auto"/>
    </w:pPr>
    <w:rPr>
      <w:szCs w:val="20"/>
    </w:rPr>
  </w:style>
  <w:style w:type="character" w:customStyle="1" w:styleId="KommentarerChar">
    <w:name w:val="Kommentarer Char"/>
    <w:basedOn w:val="Standardstycketeckensnitt"/>
    <w:link w:val="Kommentarer"/>
    <w:rsid w:val="004933BE"/>
    <w:rPr>
      <w:rFonts w:ascii="Verdana" w:hAnsi="Verdana"/>
      <w:sz w:val="20"/>
      <w:szCs w:val="20"/>
      <w:lang w:val="en-GB" w:eastAsia="en-US"/>
    </w:rPr>
  </w:style>
  <w:style w:type="paragraph" w:styleId="Kommentarsmne">
    <w:name w:val="annotation subject"/>
    <w:basedOn w:val="Kommentarer"/>
    <w:next w:val="Kommentarer"/>
    <w:link w:val="KommentarsmneChar"/>
    <w:rsid w:val="004933BE"/>
    <w:rPr>
      <w:b/>
      <w:bCs/>
    </w:rPr>
  </w:style>
  <w:style w:type="character" w:customStyle="1" w:styleId="KommentarsmneChar">
    <w:name w:val="Kommentarsämne Char"/>
    <w:basedOn w:val="KommentarerChar"/>
    <w:link w:val="Kommentarsmne"/>
    <w:rsid w:val="004933BE"/>
    <w:rPr>
      <w:rFonts w:ascii="Verdana" w:hAnsi="Verdana"/>
      <w:b/>
      <w:bCs/>
      <w:sz w:val="20"/>
      <w:szCs w:val="20"/>
      <w:lang w:val="en-GB" w:eastAsia="en-US"/>
    </w:rPr>
  </w:style>
  <w:style w:type="paragraph" w:customStyle="1" w:styleId="Default">
    <w:name w:val="Default"/>
    <w:rsid w:val="00BD051A"/>
    <w:pPr>
      <w:autoSpaceDE w:val="0"/>
      <w:autoSpaceDN w:val="0"/>
      <w:adjustRightInd w:val="0"/>
    </w:pPr>
    <w:rPr>
      <w:rFonts w:ascii="Arial" w:eastAsiaTheme="minorHAnsi" w:hAnsi="Arial" w:cs="Arial"/>
      <w:color w:val="000000"/>
      <w:lang w:val="fr-FR" w:eastAsia="en-US"/>
    </w:rPr>
  </w:style>
  <w:style w:type="paragraph" w:styleId="Beskrivning">
    <w:name w:val="caption"/>
    <w:basedOn w:val="Normal"/>
    <w:next w:val="Normal"/>
    <w:rsid w:val="00E04EC2"/>
    <w:pPr>
      <w:spacing w:after="200" w:line="240" w:lineRule="auto"/>
    </w:pPr>
    <w:rPr>
      <w:b/>
      <w:bCs/>
      <w:szCs w:val="18"/>
    </w:rPr>
  </w:style>
  <w:style w:type="paragraph" w:styleId="Normalwebb">
    <w:name w:val="Normal (Web)"/>
    <w:basedOn w:val="Normal"/>
    <w:uiPriority w:val="99"/>
    <w:unhideWhenUsed/>
    <w:rsid w:val="002D1443"/>
    <w:pPr>
      <w:spacing w:before="100" w:beforeAutospacing="1" w:after="100" w:afterAutospacing="1" w:line="240" w:lineRule="auto"/>
      <w:jc w:val="left"/>
    </w:pPr>
    <w:rPr>
      <w:rFonts w:ascii="Times New Roman" w:hAnsi="Times New Roman"/>
      <w:sz w:val="24"/>
      <w:lang w:val="it-IT" w:eastAsia="it-IT"/>
    </w:rPr>
  </w:style>
  <w:style w:type="paragraph" w:styleId="Revision">
    <w:name w:val="Revision"/>
    <w:hidden/>
    <w:rsid w:val="00086387"/>
    <w:rPr>
      <w:rFonts w:ascii="Verdana" w:hAnsi="Verdana"/>
      <w:sz w:val="20"/>
      <w:lang w:val="en-GB" w:eastAsia="en-US"/>
    </w:rPr>
  </w:style>
  <w:style w:type="character" w:styleId="AnvndHyperlnk">
    <w:name w:val="FollowedHyperlink"/>
    <w:basedOn w:val="Standardstycketeckensnitt"/>
    <w:rsid w:val="00A02FD6"/>
    <w:rPr>
      <w:color w:val="800080" w:themeColor="followedHyperlink"/>
      <w:u w:val="single"/>
    </w:rPr>
  </w:style>
  <w:style w:type="character" w:customStyle="1" w:styleId="apple-converted-space">
    <w:name w:val="apple-converted-space"/>
    <w:basedOn w:val="Standardstycketeckensnitt"/>
    <w:rsid w:val="00654361"/>
  </w:style>
  <w:style w:type="character" w:customStyle="1" w:styleId="hps">
    <w:name w:val="hps"/>
    <w:basedOn w:val="Standardstycketeckensnitt"/>
    <w:rsid w:val="004F0F17"/>
  </w:style>
</w:styles>
</file>

<file path=word/webSettings.xml><?xml version="1.0" encoding="utf-8"?>
<w:webSettings xmlns:r="http://schemas.openxmlformats.org/officeDocument/2006/relationships" xmlns:w="http://schemas.openxmlformats.org/wordprocessingml/2006/main">
  <w:divs>
    <w:div w:id="46035298">
      <w:bodyDiv w:val="1"/>
      <w:marLeft w:val="0"/>
      <w:marRight w:val="0"/>
      <w:marTop w:val="0"/>
      <w:marBottom w:val="0"/>
      <w:divBdr>
        <w:top w:val="none" w:sz="0" w:space="0" w:color="auto"/>
        <w:left w:val="none" w:sz="0" w:space="0" w:color="auto"/>
        <w:bottom w:val="none" w:sz="0" w:space="0" w:color="auto"/>
        <w:right w:val="none" w:sz="0" w:space="0" w:color="auto"/>
      </w:divBdr>
    </w:div>
    <w:div w:id="100882244">
      <w:bodyDiv w:val="1"/>
      <w:marLeft w:val="0"/>
      <w:marRight w:val="0"/>
      <w:marTop w:val="0"/>
      <w:marBottom w:val="0"/>
      <w:divBdr>
        <w:top w:val="none" w:sz="0" w:space="0" w:color="auto"/>
        <w:left w:val="none" w:sz="0" w:space="0" w:color="auto"/>
        <w:bottom w:val="none" w:sz="0" w:space="0" w:color="auto"/>
        <w:right w:val="none" w:sz="0" w:space="0" w:color="auto"/>
      </w:divBdr>
    </w:div>
    <w:div w:id="136074359">
      <w:bodyDiv w:val="1"/>
      <w:marLeft w:val="0"/>
      <w:marRight w:val="0"/>
      <w:marTop w:val="0"/>
      <w:marBottom w:val="0"/>
      <w:divBdr>
        <w:top w:val="none" w:sz="0" w:space="0" w:color="auto"/>
        <w:left w:val="none" w:sz="0" w:space="0" w:color="auto"/>
        <w:bottom w:val="none" w:sz="0" w:space="0" w:color="auto"/>
        <w:right w:val="none" w:sz="0" w:space="0" w:color="auto"/>
      </w:divBdr>
    </w:div>
    <w:div w:id="314187843">
      <w:bodyDiv w:val="1"/>
      <w:marLeft w:val="0"/>
      <w:marRight w:val="0"/>
      <w:marTop w:val="0"/>
      <w:marBottom w:val="0"/>
      <w:divBdr>
        <w:top w:val="none" w:sz="0" w:space="0" w:color="auto"/>
        <w:left w:val="none" w:sz="0" w:space="0" w:color="auto"/>
        <w:bottom w:val="none" w:sz="0" w:space="0" w:color="auto"/>
        <w:right w:val="none" w:sz="0" w:space="0" w:color="auto"/>
      </w:divBdr>
      <w:divsChild>
        <w:div w:id="252472703">
          <w:marLeft w:val="1123"/>
          <w:marRight w:val="0"/>
          <w:marTop w:val="0"/>
          <w:marBottom w:val="0"/>
          <w:divBdr>
            <w:top w:val="none" w:sz="0" w:space="0" w:color="auto"/>
            <w:left w:val="none" w:sz="0" w:space="0" w:color="auto"/>
            <w:bottom w:val="none" w:sz="0" w:space="0" w:color="auto"/>
            <w:right w:val="none" w:sz="0" w:space="0" w:color="auto"/>
          </w:divBdr>
        </w:div>
        <w:div w:id="1066142730">
          <w:marLeft w:val="1123"/>
          <w:marRight w:val="0"/>
          <w:marTop w:val="0"/>
          <w:marBottom w:val="0"/>
          <w:divBdr>
            <w:top w:val="none" w:sz="0" w:space="0" w:color="auto"/>
            <w:left w:val="none" w:sz="0" w:space="0" w:color="auto"/>
            <w:bottom w:val="none" w:sz="0" w:space="0" w:color="auto"/>
            <w:right w:val="none" w:sz="0" w:space="0" w:color="auto"/>
          </w:divBdr>
        </w:div>
        <w:div w:id="1522166973">
          <w:marLeft w:val="1123"/>
          <w:marRight w:val="0"/>
          <w:marTop w:val="0"/>
          <w:marBottom w:val="0"/>
          <w:divBdr>
            <w:top w:val="none" w:sz="0" w:space="0" w:color="auto"/>
            <w:left w:val="none" w:sz="0" w:space="0" w:color="auto"/>
            <w:bottom w:val="none" w:sz="0" w:space="0" w:color="auto"/>
            <w:right w:val="none" w:sz="0" w:space="0" w:color="auto"/>
          </w:divBdr>
        </w:div>
        <w:div w:id="893858773">
          <w:marLeft w:val="1123"/>
          <w:marRight w:val="0"/>
          <w:marTop w:val="0"/>
          <w:marBottom w:val="0"/>
          <w:divBdr>
            <w:top w:val="none" w:sz="0" w:space="0" w:color="auto"/>
            <w:left w:val="none" w:sz="0" w:space="0" w:color="auto"/>
            <w:bottom w:val="none" w:sz="0" w:space="0" w:color="auto"/>
            <w:right w:val="none" w:sz="0" w:space="0" w:color="auto"/>
          </w:divBdr>
        </w:div>
        <w:div w:id="210313378">
          <w:marLeft w:val="1123"/>
          <w:marRight w:val="0"/>
          <w:marTop w:val="0"/>
          <w:marBottom w:val="0"/>
          <w:divBdr>
            <w:top w:val="none" w:sz="0" w:space="0" w:color="auto"/>
            <w:left w:val="none" w:sz="0" w:space="0" w:color="auto"/>
            <w:bottom w:val="none" w:sz="0" w:space="0" w:color="auto"/>
            <w:right w:val="none" w:sz="0" w:space="0" w:color="auto"/>
          </w:divBdr>
        </w:div>
        <w:div w:id="1837961531">
          <w:marLeft w:val="1123"/>
          <w:marRight w:val="0"/>
          <w:marTop w:val="0"/>
          <w:marBottom w:val="0"/>
          <w:divBdr>
            <w:top w:val="none" w:sz="0" w:space="0" w:color="auto"/>
            <w:left w:val="none" w:sz="0" w:space="0" w:color="auto"/>
            <w:bottom w:val="none" w:sz="0" w:space="0" w:color="auto"/>
            <w:right w:val="none" w:sz="0" w:space="0" w:color="auto"/>
          </w:divBdr>
        </w:div>
        <w:div w:id="30112924">
          <w:marLeft w:val="1123"/>
          <w:marRight w:val="0"/>
          <w:marTop w:val="0"/>
          <w:marBottom w:val="0"/>
          <w:divBdr>
            <w:top w:val="none" w:sz="0" w:space="0" w:color="auto"/>
            <w:left w:val="none" w:sz="0" w:space="0" w:color="auto"/>
            <w:bottom w:val="none" w:sz="0" w:space="0" w:color="auto"/>
            <w:right w:val="none" w:sz="0" w:space="0" w:color="auto"/>
          </w:divBdr>
        </w:div>
      </w:divsChild>
    </w:div>
    <w:div w:id="395980913">
      <w:bodyDiv w:val="1"/>
      <w:marLeft w:val="0"/>
      <w:marRight w:val="0"/>
      <w:marTop w:val="0"/>
      <w:marBottom w:val="0"/>
      <w:divBdr>
        <w:top w:val="none" w:sz="0" w:space="0" w:color="auto"/>
        <w:left w:val="none" w:sz="0" w:space="0" w:color="auto"/>
        <w:bottom w:val="none" w:sz="0" w:space="0" w:color="auto"/>
        <w:right w:val="none" w:sz="0" w:space="0" w:color="auto"/>
      </w:divBdr>
    </w:div>
    <w:div w:id="453139851">
      <w:bodyDiv w:val="1"/>
      <w:marLeft w:val="0"/>
      <w:marRight w:val="0"/>
      <w:marTop w:val="0"/>
      <w:marBottom w:val="0"/>
      <w:divBdr>
        <w:top w:val="none" w:sz="0" w:space="0" w:color="auto"/>
        <w:left w:val="none" w:sz="0" w:space="0" w:color="auto"/>
        <w:bottom w:val="none" w:sz="0" w:space="0" w:color="auto"/>
        <w:right w:val="none" w:sz="0" w:space="0" w:color="auto"/>
      </w:divBdr>
    </w:div>
    <w:div w:id="853886705">
      <w:bodyDiv w:val="1"/>
      <w:marLeft w:val="0"/>
      <w:marRight w:val="0"/>
      <w:marTop w:val="0"/>
      <w:marBottom w:val="0"/>
      <w:divBdr>
        <w:top w:val="none" w:sz="0" w:space="0" w:color="auto"/>
        <w:left w:val="none" w:sz="0" w:space="0" w:color="auto"/>
        <w:bottom w:val="none" w:sz="0" w:space="0" w:color="auto"/>
        <w:right w:val="none" w:sz="0" w:space="0" w:color="auto"/>
      </w:divBdr>
    </w:div>
    <w:div w:id="890308035">
      <w:bodyDiv w:val="1"/>
      <w:marLeft w:val="0"/>
      <w:marRight w:val="0"/>
      <w:marTop w:val="0"/>
      <w:marBottom w:val="0"/>
      <w:divBdr>
        <w:top w:val="none" w:sz="0" w:space="0" w:color="auto"/>
        <w:left w:val="none" w:sz="0" w:space="0" w:color="auto"/>
        <w:bottom w:val="none" w:sz="0" w:space="0" w:color="auto"/>
        <w:right w:val="none" w:sz="0" w:space="0" w:color="auto"/>
      </w:divBdr>
    </w:div>
    <w:div w:id="942955185">
      <w:bodyDiv w:val="1"/>
      <w:marLeft w:val="0"/>
      <w:marRight w:val="0"/>
      <w:marTop w:val="0"/>
      <w:marBottom w:val="0"/>
      <w:divBdr>
        <w:top w:val="none" w:sz="0" w:space="0" w:color="auto"/>
        <w:left w:val="none" w:sz="0" w:space="0" w:color="auto"/>
        <w:bottom w:val="none" w:sz="0" w:space="0" w:color="auto"/>
        <w:right w:val="none" w:sz="0" w:space="0" w:color="auto"/>
      </w:divBdr>
    </w:div>
    <w:div w:id="976448440">
      <w:bodyDiv w:val="1"/>
      <w:marLeft w:val="0"/>
      <w:marRight w:val="0"/>
      <w:marTop w:val="0"/>
      <w:marBottom w:val="0"/>
      <w:divBdr>
        <w:top w:val="none" w:sz="0" w:space="0" w:color="auto"/>
        <w:left w:val="none" w:sz="0" w:space="0" w:color="auto"/>
        <w:bottom w:val="none" w:sz="0" w:space="0" w:color="auto"/>
        <w:right w:val="none" w:sz="0" w:space="0" w:color="auto"/>
      </w:divBdr>
    </w:div>
    <w:div w:id="1097019808">
      <w:bodyDiv w:val="1"/>
      <w:marLeft w:val="0"/>
      <w:marRight w:val="0"/>
      <w:marTop w:val="0"/>
      <w:marBottom w:val="0"/>
      <w:divBdr>
        <w:top w:val="none" w:sz="0" w:space="0" w:color="auto"/>
        <w:left w:val="none" w:sz="0" w:space="0" w:color="auto"/>
        <w:bottom w:val="none" w:sz="0" w:space="0" w:color="auto"/>
        <w:right w:val="none" w:sz="0" w:space="0" w:color="auto"/>
      </w:divBdr>
    </w:div>
    <w:div w:id="1129977571">
      <w:bodyDiv w:val="1"/>
      <w:marLeft w:val="0"/>
      <w:marRight w:val="0"/>
      <w:marTop w:val="0"/>
      <w:marBottom w:val="0"/>
      <w:divBdr>
        <w:top w:val="none" w:sz="0" w:space="0" w:color="auto"/>
        <w:left w:val="none" w:sz="0" w:space="0" w:color="auto"/>
        <w:bottom w:val="none" w:sz="0" w:space="0" w:color="auto"/>
        <w:right w:val="none" w:sz="0" w:space="0" w:color="auto"/>
      </w:divBdr>
    </w:div>
    <w:div w:id="1731265869">
      <w:bodyDiv w:val="1"/>
      <w:marLeft w:val="0"/>
      <w:marRight w:val="0"/>
      <w:marTop w:val="0"/>
      <w:marBottom w:val="0"/>
      <w:divBdr>
        <w:top w:val="none" w:sz="0" w:space="0" w:color="auto"/>
        <w:left w:val="none" w:sz="0" w:space="0" w:color="auto"/>
        <w:bottom w:val="none" w:sz="0" w:space="0" w:color="auto"/>
        <w:right w:val="none" w:sz="0" w:space="0" w:color="auto"/>
      </w:divBdr>
    </w:div>
    <w:div w:id="210556349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image" Target="media/image6.jpeg"/><Relationship Id="rId26" Type="http://schemas.openxmlformats.org/officeDocument/2006/relationships/hyperlink" Target="http://www.espon.eu/main/Menu_Projects/" TargetMode="External"/><Relationship Id="rId3" Type="http://schemas.openxmlformats.org/officeDocument/2006/relationships/customXml" Target="../customXml/item3.xml"/><Relationship Id="rId21" Type="http://schemas.openxmlformats.org/officeDocument/2006/relationships/image" Target="media/image9.png"/><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image" Target="media/image5.png"/><Relationship Id="rId25" Type="http://schemas.openxmlformats.org/officeDocument/2006/relationships/image" Target="media/image13.jpeg"/><Relationship Id="rId33" Type="http://schemas.microsoft.com/office/2007/relationships/stylesWithEffects" Target="stylesWithEffects.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image" Target="media/image8.png"/><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12.png"/><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image" Target="media/image11.png"/><Relationship Id="rId28" Type="http://schemas.openxmlformats.org/officeDocument/2006/relationships/image" Target="media/image14.png"/><Relationship Id="rId10" Type="http://schemas.openxmlformats.org/officeDocument/2006/relationships/endnotes" Target="endnotes.xml"/><Relationship Id="rId19" Type="http://schemas.openxmlformats.org/officeDocument/2006/relationships/image" Target="media/image7.png"/><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image" Target="media/image10.png"/><Relationship Id="rId27" Type="http://schemas.openxmlformats.org/officeDocument/2006/relationships/hyperlink" Target="http://epp.eurostat.ec.europa.eu/portal/page/portal/eurostat/home" TargetMode="External"/><Relationship Id="rId30"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CC3D7887BEA5E4C9F3C673F2CC52FC6" ma:contentTypeVersion="0" ma:contentTypeDescription="Create a new document." ma:contentTypeScope="" ma:versionID="95e9eaccf570a8a0c63ba580b7c4ee39">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3.xml><?xml version="1.0" encoding="utf-8"?>
<p:properties xmlns:p="http://schemas.microsoft.com/office/2006/metadata/properties" xmlns:xsi="http://www.w3.org/2001/XMLSchema-instance">
  <documentManagement/>
</p:properties>
</file>

<file path=customXml/item4.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88A9DC16-51E1-42A2-A132-4DE4A0F56E36}">
  <ds:schemaRefs>
    <ds:schemaRef ds:uri="http://schemas.microsoft.com/sharepoint/v3/contenttype/forms"/>
  </ds:schemaRefs>
</ds:datastoreItem>
</file>

<file path=customXml/itemProps2.xml><?xml version="1.0" encoding="utf-8"?>
<ds:datastoreItem xmlns:ds="http://schemas.openxmlformats.org/officeDocument/2006/customXml" ds:itemID="{60473B20-1DA9-4078-A3CF-FEC957FC16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3.xml><?xml version="1.0" encoding="utf-8"?>
<ds:datastoreItem xmlns:ds="http://schemas.openxmlformats.org/officeDocument/2006/customXml" ds:itemID="{B6828772-D21E-4736-AAB4-B3B97D047F84}">
  <ds:schemaRefs>
    <ds:schemaRef ds:uri="http://schemas.microsoft.com/office/2006/metadata/properties"/>
  </ds:schemaRefs>
</ds:datastoreItem>
</file>

<file path=customXml/itemProps4.xml><?xml version="1.0" encoding="utf-8"?>
<ds:datastoreItem xmlns:ds="http://schemas.openxmlformats.org/officeDocument/2006/customXml" ds:itemID="{80916C36-A8F1-4CF2-ABF6-182E67FCD9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2946</Words>
  <Characters>16798</Characters>
  <Application>Microsoft Office Word</Application>
  <DocSecurity>0</DocSecurity>
  <Lines>139</Lines>
  <Paragraphs>39</Paragraphs>
  <ScaleCrop>false</ScaleCrop>
  <HeadingPairs>
    <vt:vector size="8" baseType="variant">
      <vt:variant>
        <vt:lpstr>Titel</vt:lpstr>
      </vt:variant>
      <vt:variant>
        <vt:i4>1</vt:i4>
      </vt:variant>
      <vt:variant>
        <vt:lpstr>Title</vt:lpstr>
      </vt:variant>
      <vt:variant>
        <vt:i4>1</vt:i4>
      </vt:variant>
      <vt:variant>
        <vt:lpstr>Rubrik</vt:lpstr>
      </vt:variant>
      <vt:variant>
        <vt:i4>1</vt:i4>
      </vt:variant>
      <vt:variant>
        <vt:lpstr>Titolo</vt:lpstr>
      </vt:variant>
      <vt:variant>
        <vt:i4>1</vt:i4>
      </vt:variant>
    </vt:vector>
  </HeadingPairs>
  <TitlesOfParts>
    <vt:vector size="4" baseType="lpstr">
      <vt:lpstr>Annex 10: (Draft) final reports template</vt:lpstr>
      <vt:lpstr>Annex 10: (Draft) final reports template</vt:lpstr>
      <vt:lpstr>Annex 10: (Draft) final reports template</vt:lpstr>
      <vt:lpstr>Annex 10: (Draft) final reports template</vt:lpstr>
    </vt:vector>
  </TitlesOfParts>
  <Company>crp Henri Tudor</Company>
  <LinksUpToDate>false</LinksUpToDate>
  <CharactersWithSpaces>19705</CharactersWithSpaces>
  <SharedDoc>false</SharedDoc>
  <HLinks>
    <vt:vector size="36" baseType="variant">
      <vt:variant>
        <vt:i4>655469</vt:i4>
      </vt:variant>
      <vt:variant>
        <vt:i4>2060</vt:i4>
      </vt:variant>
      <vt:variant>
        <vt:i4>1025</vt:i4>
      </vt:variant>
      <vt:variant>
        <vt:i4>1</vt:i4>
      </vt:variant>
      <vt:variant>
        <vt:lpwstr>image</vt:lpwstr>
      </vt:variant>
      <vt:variant>
        <vt:lpwstr/>
      </vt:variant>
      <vt:variant>
        <vt:i4>5701748</vt:i4>
      </vt:variant>
      <vt:variant>
        <vt:i4>-1</vt:i4>
      </vt:variant>
      <vt:variant>
        <vt:i4>1029</vt:i4>
      </vt:variant>
      <vt:variant>
        <vt:i4>1</vt:i4>
      </vt:variant>
      <vt:variant>
        <vt:lpwstr>Cover-TPG</vt:lpwstr>
      </vt:variant>
      <vt:variant>
        <vt:lpwstr/>
      </vt:variant>
      <vt:variant>
        <vt:i4>6684687</vt:i4>
      </vt:variant>
      <vt:variant>
        <vt:i4>-1</vt:i4>
      </vt:variant>
      <vt:variant>
        <vt:i4>2049</vt:i4>
      </vt:variant>
      <vt:variant>
        <vt:i4>1</vt:i4>
      </vt:variant>
      <vt:variant>
        <vt:lpwstr>Cover-TPG-White</vt:lpwstr>
      </vt:variant>
      <vt:variant>
        <vt:lpwstr/>
      </vt:variant>
      <vt:variant>
        <vt:i4>6684687</vt:i4>
      </vt:variant>
      <vt:variant>
        <vt:i4>-1</vt:i4>
      </vt:variant>
      <vt:variant>
        <vt:i4>2051</vt:i4>
      </vt:variant>
      <vt:variant>
        <vt:i4>1</vt:i4>
      </vt:variant>
      <vt:variant>
        <vt:lpwstr>Cover-TPG-White</vt:lpwstr>
      </vt:variant>
      <vt:variant>
        <vt:lpwstr/>
      </vt:variant>
      <vt:variant>
        <vt:i4>6684687</vt:i4>
      </vt:variant>
      <vt:variant>
        <vt:i4>-1</vt:i4>
      </vt:variant>
      <vt:variant>
        <vt:i4>2053</vt:i4>
      </vt:variant>
      <vt:variant>
        <vt:i4>1</vt:i4>
      </vt:variant>
      <vt:variant>
        <vt:lpwstr>Cover-TPG-White</vt:lpwstr>
      </vt:variant>
      <vt:variant>
        <vt:lpwstr/>
      </vt:variant>
      <vt:variant>
        <vt:i4>6684687</vt:i4>
      </vt:variant>
      <vt:variant>
        <vt:i4>-1</vt:i4>
      </vt:variant>
      <vt:variant>
        <vt:i4>2055</vt:i4>
      </vt:variant>
      <vt:variant>
        <vt:i4>1</vt:i4>
      </vt:variant>
      <vt:variant>
        <vt:lpwstr>Cover-TPG-White</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Annex 10: (Draft) final reports template</dc:title>
  <dc:creator>pacasova</dc:creator>
  <cp:lastModifiedBy>kearney</cp:lastModifiedBy>
  <cp:revision>15</cp:revision>
  <cp:lastPrinted>2012-10-25T10:09:00Z</cp:lastPrinted>
  <dcterms:created xsi:type="dcterms:W3CDTF">2012-11-20T09:57:00Z</dcterms:created>
  <dcterms:modified xsi:type="dcterms:W3CDTF">2012-11-27T10:40:00Z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0x0101002CC3D7887BEA5E4C9F3C673F2CC52FC6</vt:lpwstr>
  </property>
</Properties>
</file>