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F9467B" w:rsidRDefault="008B577E" w:rsidP="008F09C6">
      <w:pPr>
        <w:spacing w:line="240" w:lineRule="auto"/>
        <w:ind w:left="-851"/>
        <w:jc w:val="center"/>
        <w:rPr>
          <w:rFonts w:ascii="Arial" w:hAnsi="Arial" w:cs="Arial"/>
          <w:sz w:val="40"/>
          <w:szCs w:val="40"/>
          <w:lang w:val="en-US"/>
        </w:rPr>
      </w:pPr>
      <w:r w:rsidRPr="00F9467B">
        <w:rPr>
          <w:rFonts w:ascii="Arial" w:hAnsi="Arial" w:cs="Arial"/>
          <w:sz w:val="40"/>
          <w:szCs w:val="40"/>
          <w:lang w:val="en-US"/>
        </w:rPr>
        <w:t>Alpine Space</w:t>
      </w:r>
    </w:p>
    <w:p w:rsidR="00F9467B" w:rsidRDefault="00595CBA"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614545" cy="5199380"/>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14545" cy="5199380"/>
                    </a:xfrm>
                    <a:prstGeom prst="rect">
                      <a:avLst/>
                    </a:prstGeom>
                    <a:noFill/>
                    <a:ln w="9525">
                      <a:noFill/>
                      <a:miter lim="800000"/>
                      <a:headEnd/>
                      <a:tailEnd/>
                    </a:ln>
                  </pic:spPr>
                </pic:pic>
              </a:graphicData>
            </a:graphic>
          </wp:inline>
        </w:drawing>
      </w:r>
    </w:p>
    <w:p w:rsidR="00F9467B" w:rsidRDefault="00F9467B"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BC65E1" w:rsidRPr="00127102" w:rsidRDefault="00F9467B" w:rsidP="008F09C6">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2677EF" w:rsidRPr="0085195F" w:rsidRDefault="0037764A" w:rsidP="002677EF">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2677EF">
        <w:t>This</w:t>
      </w:r>
      <w:r w:rsidR="002677EF" w:rsidRPr="0085195F">
        <w:t xml:space="preserve"> is intended as an electronic publication so map quality is generally high to allow users to zoom into specific territories.</w:t>
      </w:r>
    </w:p>
    <w:p w:rsidR="0037764A" w:rsidRPr="002677EF" w:rsidRDefault="002677EF" w:rsidP="002677EF">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CE70DF">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Pr="00F94CF4" w:rsidRDefault="0037764A" w:rsidP="00F94CF4">
      <w:r>
        <w:rPr>
          <w:lang w:val="en-US"/>
        </w:rPr>
        <w:t xml:space="preserve">This chapter provides a selection of ESPON data related to Europe 2020 </w:t>
      </w:r>
      <w:r w:rsidRPr="00F94CF4">
        <w:t xml:space="preserve">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F94CF4">
        <w:t xml:space="preserve"> Furthermore, the economic disparities are growing as economic trends and the crisis have various impacts on different parts of Europe. </w:t>
      </w:r>
    </w:p>
    <w:p w:rsidR="00C376CB" w:rsidRDefault="00C376CB" w:rsidP="00C376CB">
      <w:r>
        <w:t>In the following the traffic light for each indicator represents how your programme territory compares to wider European medians where green = your programme area performs better for that indicator, yel</w:t>
      </w:r>
      <w:r w:rsidR="002677EF">
        <w:t>low = similar, and red = worse.</w:t>
      </w:r>
    </w:p>
    <w:p w:rsidR="00F94CF4" w:rsidRDefault="00F94CF4" w:rsidP="00F94CF4">
      <w:pPr>
        <w:spacing w:after="240"/>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F94CF4" w:rsidRDefault="00F94CF4" w:rsidP="00F94CF4">
      <w:pPr>
        <w:spacing w:after="240"/>
        <w:rPr>
          <w:lang w:val="en-US"/>
        </w:rPr>
      </w:pPr>
      <w:r>
        <w:t>EU 27+4 in traffic lights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F94CF4" w:rsidRDefault="00F94CF4">
      <w:pPr>
        <w:spacing w:after="0" w:line="240" w:lineRule="auto"/>
        <w:jc w:val="left"/>
        <w:rPr>
          <w:lang w:val="en-US"/>
        </w:rPr>
      </w:pPr>
      <w:r>
        <w:rPr>
          <w:lang w:val="en-US"/>
        </w:rPr>
        <w:br w:type="page"/>
      </w:r>
    </w:p>
    <w:p w:rsidR="00337872" w:rsidRDefault="00E43562" w:rsidP="00337872">
      <w:pPr>
        <w:pStyle w:val="Heading3"/>
      </w:pPr>
      <w:r w:rsidRPr="009901B5">
        <w:lastRenderedPageBreak/>
        <w:t xml:space="preserve">Smart, Sustainable and Inclusive </w:t>
      </w:r>
      <w:r w:rsidR="00337872" w:rsidRPr="009901B5">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F254A2">
        <w:t>urope</w:t>
      </w:r>
      <w:r>
        <w:t xml:space="preserve"> 2020 Strategy it means focus on competitiveness, resource efficiency, climate change and biodiversity.</w:t>
      </w:r>
    </w:p>
    <w:p w:rsidR="00E43562" w:rsidRDefault="00AA2C20" w:rsidP="00E43562">
      <w:r>
        <w:rPr>
          <w:noProof/>
          <w:lang w:val="en-US"/>
        </w:rPr>
        <w:drawing>
          <wp:anchor distT="0" distB="0" distL="114300" distR="114300" simplePos="0" relativeHeight="251687424" behindDoc="1" locked="0" layoutInCell="1" allowOverlap="1">
            <wp:simplePos x="0" y="0"/>
            <wp:positionH relativeFrom="column">
              <wp:posOffset>-24765</wp:posOffset>
            </wp:positionH>
            <wp:positionV relativeFrom="paragraph">
              <wp:posOffset>1165860</wp:posOffset>
            </wp:positionV>
            <wp:extent cx="5272405" cy="3380740"/>
            <wp:effectExtent l="19050" t="0" r="4445" b="0"/>
            <wp:wrapTight wrapText="bothSides">
              <wp:wrapPolygon edited="0">
                <wp:start x="-78" y="122"/>
                <wp:lineTo x="-78" y="20813"/>
                <wp:lineTo x="21618" y="20813"/>
                <wp:lineTo x="21618" y="122"/>
                <wp:lineTo x="-78" y="122"/>
              </wp:wrapPolygon>
            </wp:wrapTight>
            <wp:docPr id="3" name="Bild 1" descr="C:\Dokumente und Einstellungen\pucher\Desktop\TL_TNC\TrafficLights_TNC_v3_Alpine Sp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Alpine Space1.png"/>
                    <pic:cNvPicPr>
                      <a:picLocks noChangeAspect="1" noChangeArrowheads="1"/>
                    </pic:cNvPicPr>
                  </pic:nvPicPr>
                  <pic:blipFill>
                    <a:blip r:embed="rId15" cstate="print"/>
                    <a:srcRect/>
                    <a:stretch>
                      <a:fillRect/>
                    </a:stretch>
                  </pic:blipFill>
                  <pic:spPr bwMode="auto">
                    <a:xfrm>
                      <a:off x="0" y="0"/>
                      <a:ext cx="5272405" cy="3380740"/>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F254A2">
        <w:t xml:space="preserve"> Within the Europe</w:t>
      </w:r>
      <w:r w:rsidR="00E43562">
        <w:t xml:space="preserv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C5462E" w:rsidRDefault="00811EB5" w:rsidP="00E43562">
      <w:pPr>
        <w:spacing w:line="240" w:lineRule="atLeast"/>
        <w:rPr>
          <w:szCs w:val="20"/>
          <w:lang w:val="en-US"/>
        </w:rPr>
      </w:pPr>
      <w:r w:rsidRPr="00811EB5">
        <w:rPr>
          <w:szCs w:val="20"/>
          <w:lang w:val="en-US"/>
        </w:rPr>
        <w:t xml:space="preserve">Looking at the indicators for </w:t>
      </w:r>
      <w:r w:rsidRPr="00811EB5">
        <w:rPr>
          <w:b/>
          <w:szCs w:val="20"/>
          <w:lang w:val="en-US"/>
        </w:rPr>
        <w:t>smart growth</w:t>
      </w:r>
      <w:r>
        <w:rPr>
          <w:szCs w:val="20"/>
          <w:lang w:val="en-US"/>
        </w:rPr>
        <w:t>, the Alpine Space TNC area performs similarly to the EU27+4 (with regards to employment in knowledge-intensive services, and the number of persons regularly using the internet). With regards to R&amp;D expenditure, the TNC area has positive</w:t>
      </w:r>
      <w:r w:rsidR="00581055">
        <w:rPr>
          <w:szCs w:val="20"/>
          <w:lang w:val="en-US"/>
        </w:rPr>
        <w:t xml:space="preserve"> values compared to the EU27+4 although it must be added that the disparities within the area are high.</w:t>
      </w:r>
    </w:p>
    <w:p w:rsidR="00581055" w:rsidRPr="00811EB5" w:rsidRDefault="00581055" w:rsidP="00E43562">
      <w:pPr>
        <w:spacing w:line="240" w:lineRule="atLeast"/>
        <w:rPr>
          <w:szCs w:val="20"/>
          <w:lang w:val="en-US"/>
        </w:rPr>
      </w:pPr>
      <w:r>
        <w:rPr>
          <w:szCs w:val="20"/>
          <w:lang w:val="en-US"/>
        </w:rPr>
        <w:t xml:space="preserve">Using the taxonomy of the KIT project, Map 1 shows a diversified and scattered situation in terms of patterns of innovation. In the centre of the </w:t>
      </w:r>
      <w:r w:rsidR="005A4866">
        <w:rPr>
          <w:szCs w:val="20"/>
          <w:lang w:val="en-US"/>
        </w:rPr>
        <w:t>Alpine Space</w:t>
      </w:r>
      <w:r>
        <w:rPr>
          <w:szCs w:val="20"/>
          <w:lang w:val="en-US"/>
        </w:rPr>
        <w:t xml:space="preserve"> area (south of Germany, Austria and Switzerland), many Nuts-2 regions of the TNC area are either rated as “applied science-“ or “European science-based” areas due to a high level of science-based local knowledge and a high degree of attractiveness of knowledge coming from other regions. The other regions are mainly qualified as smart and creative diversification areas or smart technological application areas. The eastern regions of the area are qualified as somewhat less advanced innovation areas.</w:t>
      </w:r>
    </w:p>
    <w:p w:rsidR="00C5462E" w:rsidRPr="00811EB5" w:rsidRDefault="00500A22" w:rsidP="0085496F">
      <w:pPr>
        <w:spacing w:line="240" w:lineRule="atLeast"/>
        <w:rPr>
          <w:szCs w:val="20"/>
          <w:lang w:val="en-US"/>
        </w:rPr>
      </w:pPr>
      <w:r>
        <w:rPr>
          <w:szCs w:val="20"/>
          <w:lang w:val="en-US"/>
        </w:rPr>
        <w:lastRenderedPageBreak/>
        <w:t xml:space="preserve">The indicators for </w:t>
      </w:r>
      <w:r w:rsidRPr="00500A22">
        <w:rPr>
          <w:b/>
          <w:szCs w:val="20"/>
          <w:lang w:val="en-US"/>
        </w:rPr>
        <w:t>sustainable growth</w:t>
      </w:r>
      <w:r>
        <w:rPr>
          <w:szCs w:val="20"/>
          <w:lang w:val="en-US"/>
        </w:rPr>
        <w:t xml:space="preserve"> vary for the Alpine Space TNC area. The wind energy potential of the TNC area is lower than the potential of the EU27+4 and has a high level of diversity within the area. In terms of ozone concentration, the Alpine Space shows more positive values than the EU27+4; however the disparities within the area are high. The TNC area seems to be as vulnerable to climate change as the EU27+4 with high disparities across its regions.</w:t>
      </w:r>
    </w:p>
    <w:p w:rsidR="00E43562" w:rsidRPr="00811EB5" w:rsidRDefault="004E2230" w:rsidP="0085496F">
      <w:pPr>
        <w:rPr>
          <w:lang w:val="en-US"/>
        </w:rPr>
      </w:pPr>
      <w:r>
        <w:rPr>
          <w:lang w:val="en-US"/>
        </w:rPr>
        <w:t xml:space="preserve">The disparities within the </w:t>
      </w:r>
      <w:r w:rsidR="005A4866">
        <w:rPr>
          <w:lang w:val="en-US"/>
        </w:rPr>
        <w:t xml:space="preserve">Alpine Space </w:t>
      </w:r>
      <w:r>
        <w:rPr>
          <w:lang w:val="en-US"/>
        </w:rPr>
        <w:t>TNC area are also striking when looking at Map 3 which highlights the adaptive capacity to climate change. The north of Italy and the eastern regions of the TNC area show lower capacity to adapt to climate change than the other regions.</w:t>
      </w:r>
    </w:p>
    <w:p w:rsidR="004E2230" w:rsidRDefault="00500A22" w:rsidP="0085496F">
      <w:pPr>
        <w:spacing w:after="0" w:line="240" w:lineRule="auto"/>
        <w:rPr>
          <w:szCs w:val="20"/>
          <w:lang w:val="en-US"/>
        </w:rPr>
      </w:pPr>
      <w:r w:rsidRPr="00500A22">
        <w:rPr>
          <w:szCs w:val="20"/>
          <w:lang w:val="en-US"/>
        </w:rPr>
        <w:t xml:space="preserve">The </w:t>
      </w:r>
      <w:r w:rsidR="004E2230">
        <w:rPr>
          <w:szCs w:val="20"/>
          <w:lang w:val="en-US"/>
        </w:rPr>
        <w:t xml:space="preserve">TNC area is generally not affected in terms of </w:t>
      </w:r>
      <w:r w:rsidRPr="00500A22">
        <w:rPr>
          <w:szCs w:val="20"/>
          <w:lang w:val="en-US"/>
        </w:rPr>
        <w:t xml:space="preserve">fossil fuel consumption </w:t>
      </w:r>
      <w:r w:rsidR="004E2230">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sidR="004E2230">
        <w:rPr>
          <w:szCs w:val="20"/>
          <w:lang w:val="en-US"/>
        </w:rPr>
        <w:t>. The exceptions are a few regions in the north of Italy and the south of France which seem to witness a moderate positive impact and a few German regions which seem to experience minor impacts.</w:t>
      </w:r>
    </w:p>
    <w:p w:rsidR="004E2230" w:rsidRDefault="004E2230" w:rsidP="0085496F">
      <w:pPr>
        <w:spacing w:after="0" w:line="240" w:lineRule="auto"/>
        <w:rPr>
          <w:szCs w:val="20"/>
          <w:lang w:val="en-US"/>
        </w:rPr>
      </w:pPr>
    </w:p>
    <w:p w:rsidR="00E43562" w:rsidRPr="00500A22" w:rsidRDefault="004E2230" w:rsidP="0085496F">
      <w:pPr>
        <w:spacing w:after="0" w:line="240" w:lineRule="auto"/>
        <w:rPr>
          <w:szCs w:val="20"/>
          <w:lang w:val="en-US"/>
        </w:rPr>
      </w:pPr>
      <w:r>
        <w:rPr>
          <w:szCs w:val="20"/>
          <w:lang w:val="en-US"/>
        </w:rPr>
        <w:t xml:space="preserve">The </w:t>
      </w:r>
      <w:r w:rsidR="005A4866">
        <w:rPr>
          <w:szCs w:val="20"/>
          <w:lang w:val="en-US"/>
        </w:rPr>
        <w:t xml:space="preserve">Alpine Space </w:t>
      </w:r>
      <w:r>
        <w:rPr>
          <w:szCs w:val="20"/>
          <w:lang w:val="en-US"/>
        </w:rPr>
        <w:t xml:space="preserve">area generally shows positive results in terms of </w:t>
      </w:r>
      <w:r w:rsidRPr="004E2230">
        <w:rPr>
          <w:b/>
          <w:szCs w:val="20"/>
          <w:lang w:val="en-US"/>
        </w:rPr>
        <w:t>inclusive growth</w:t>
      </w:r>
      <w:r>
        <w:rPr>
          <w:szCs w:val="20"/>
          <w:lang w:val="en-US"/>
        </w:rPr>
        <w:t>. The long-term unemployment rate in the TNC area is lower than in the EU27+4. The at-risk-of-poverty rate is lower than in the EU27+4 and the share of persons aged 25-64 and 20-24 with upper secondary or tertiary education attainment is comparable to the rate of the EU27+4.</w:t>
      </w:r>
      <w:r w:rsidR="005252AC">
        <w:rPr>
          <w:szCs w:val="20"/>
          <w:lang w:val="en-US"/>
        </w:rPr>
        <w:t xml:space="preserve"> Map 5 illustrates the diversity within the region with regards to the employment rates. Again, the regions at the centre of the TNC area (Germany, Austria and Luxembourg) experience higher employment rates than the outer regions within the Alpine Space area. </w:t>
      </w:r>
      <w:r w:rsidR="007B39E7">
        <w:rPr>
          <w:szCs w:val="20"/>
          <w:lang w:val="en-US"/>
        </w:rPr>
        <w:t xml:space="preserve">In all four ESPON DEMIFER scenarios (Map 4), the north-eastern regions seem to experience more negative changes in labour market forces by 2050. Only in the scenarios “Growing social Europe” and “Expanding Market Europe” the changes in labour force seem to have positive outcomes also in Austria and the southern regions of Germany. </w:t>
      </w:r>
      <w:r w:rsidR="00E43562" w:rsidRPr="00500A22">
        <w:rPr>
          <w:szCs w:val="20"/>
          <w:lang w:val="en-US"/>
        </w:rP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D05907">
        <w:rPr>
          <w:b/>
        </w:rPr>
        <w:t>Alpine Space</w:t>
      </w:r>
    </w:p>
    <w:p w:rsidR="008A3B96" w:rsidRDefault="008A3B96" w:rsidP="008A3B96"/>
    <w:p w:rsidR="008A3B96" w:rsidRDefault="00C57744" w:rsidP="008A3B96">
      <w:pPr>
        <w:spacing w:after="0" w:line="240" w:lineRule="auto"/>
      </w:pPr>
      <w:r w:rsidRPr="00C57744">
        <w:rPr>
          <w:noProof/>
          <w:lang w:val="de-DE" w:eastAsia="de-DE"/>
        </w:rPr>
        <w:pict>
          <v:shape id="_x0000_s1029" style="position:absolute;left:0;text-align:left;margin-left:126.1pt;margin-top:223.75pt;width:135pt;height:90.3pt;z-index:251677184"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EA7458">
        <w:rPr>
          <w:noProof/>
          <w:lang w:val="en-US"/>
        </w:rPr>
        <w:drawing>
          <wp:inline distT="0" distB="0" distL="0" distR="0">
            <wp:extent cx="5278755" cy="6284584"/>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D05907">
        <w:rPr>
          <w:b/>
        </w:rPr>
        <w:t>Alpine Space</w:t>
      </w:r>
    </w:p>
    <w:p w:rsidR="00D26713" w:rsidRDefault="00D26713" w:rsidP="00D26713">
      <w:pPr>
        <w:spacing w:after="0" w:line="240" w:lineRule="auto"/>
        <w:rPr>
          <w:noProof/>
          <w:lang w:eastAsia="en-GB"/>
        </w:rPr>
      </w:pPr>
    </w:p>
    <w:p w:rsidR="00D26713" w:rsidRDefault="00C57744" w:rsidP="00D26713">
      <w:pPr>
        <w:spacing w:after="0" w:line="240" w:lineRule="auto"/>
        <w:rPr>
          <w:noProof/>
          <w:lang w:eastAsia="en-GB"/>
        </w:rPr>
      </w:pPr>
      <w:r w:rsidRPr="00C57744">
        <w:rPr>
          <w:noProof/>
          <w:lang w:val="de-DE" w:eastAsia="de-DE"/>
        </w:rPr>
        <w:pict>
          <v:shape id="_x0000_s1030" style="position:absolute;left:0;text-align:left;margin-left:142.85pt;margin-top:195.95pt;width:135pt;height:90.3pt;z-index:251678208"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F4022A">
        <w:rPr>
          <w:noProof/>
          <w:lang w:val="en-US"/>
        </w:rPr>
        <w:drawing>
          <wp:inline distT="0" distB="0" distL="0" distR="0">
            <wp:extent cx="5278755" cy="5815626"/>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D05907">
        <w:rPr>
          <w:b/>
        </w:rPr>
        <w:t>Alpine Space</w:t>
      </w:r>
    </w:p>
    <w:p w:rsidR="00F94CF4" w:rsidRPr="00021CAB" w:rsidRDefault="00F94CF4" w:rsidP="00F94CF4">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CB4D8F" w:rsidRDefault="00C57744">
      <w:pPr>
        <w:spacing w:after="0" w:line="240" w:lineRule="auto"/>
        <w:jc w:val="left"/>
        <w:rPr>
          <w:noProof/>
          <w:lang w:eastAsia="en-GB"/>
        </w:rPr>
      </w:pPr>
      <w:r w:rsidRPr="00C57744">
        <w:rPr>
          <w:i/>
          <w:noProof/>
          <w:lang w:val="de-DE" w:eastAsia="de-DE"/>
        </w:rPr>
        <w:pict>
          <v:shape id="_x0000_s1031" style="position:absolute;margin-left:131.1pt;margin-top:239.15pt;width:135pt;height:90.3pt;z-index:251679232"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CB4D8F">
        <w:rPr>
          <w:noProof/>
          <w:lang w:val="en-US"/>
        </w:rPr>
        <w:drawing>
          <wp:inline distT="0" distB="0" distL="0" distR="0">
            <wp:extent cx="5278755" cy="6831330"/>
            <wp:effectExtent l="19050" t="0" r="0" b="0"/>
            <wp:docPr id="17" name="Grafik 16"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p>
    <w:p w:rsidR="00F54E2D" w:rsidRDefault="00F54E2D">
      <w:pPr>
        <w:spacing w:after="0" w:line="240" w:lineRule="auto"/>
        <w:jc w:val="left"/>
        <w:rPr>
          <w:noProof/>
          <w:lang w:eastAsia="en-GB"/>
        </w:rPr>
      </w:pPr>
      <w:r>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D05907">
        <w:rPr>
          <w:b/>
        </w:rPr>
        <w:t>Alpine Space</w:t>
      </w:r>
    </w:p>
    <w:p w:rsidR="0089569C" w:rsidRDefault="0089569C" w:rsidP="0089569C">
      <w:pPr>
        <w:spacing w:after="0" w:line="240" w:lineRule="auto"/>
        <w:rPr>
          <w:noProof/>
          <w:lang w:eastAsia="en-GB"/>
        </w:rPr>
      </w:pPr>
    </w:p>
    <w:p w:rsidR="0089569C" w:rsidRDefault="00C57744" w:rsidP="0089569C">
      <w:pPr>
        <w:spacing w:after="0" w:line="240" w:lineRule="auto"/>
        <w:rPr>
          <w:noProof/>
          <w:lang w:eastAsia="en-GB"/>
        </w:rPr>
      </w:pPr>
      <w:r w:rsidRPr="00C57744">
        <w:rPr>
          <w:noProof/>
          <w:lang w:val="de-DE" w:eastAsia="de-DE"/>
        </w:rPr>
        <w:pict>
          <v:shape id="_x0000_s1035" style="position:absolute;left:0;text-align:left;margin-left:269.9pt;margin-top:329.35pt;width:62.5pt;height:41.8pt;z-index:251683328"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Pr="00C57744">
        <w:rPr>
          <w:noProof/>
          <w:lang w:val="de-DE" w:eastAsia="de-DE"/>
        </w:rPr>
        <w:pict>
          <v:shape id="_x0000_s1034" style="position:absolute;left:0;text-align:left;margin-left:70.75pt;margin-top:329.35pt;width:62.5pt;height:41.8pt;z-index:251682304"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Pr="00C57744">
        <w:rPr>
          <w:noProof/>
          <w:lang w:val="de-DE" w:eastAsia="de-DE"/>
        </w:rPr>
        <w:pict>
          <v:shape id="_x0000_s1033" style="position:absolute;left:0;text-align:left;margin-left:269.9pt;margin-top:125pt;width:62.5pt;height:41.8pt;z-index:251681280"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Pr="00C57744">
        <w:rPr>
          <w:noProof/>
          <w:lang w:val="de-DE" w:eastAsia="de-DE"/>
        </w:rPr>
        <w:pict>
          <v:shape id="_x0000_s1032" style="position:absolute;left:0;text-align:left;margin-left:70.75pt;margin-top:125pt;width:62.5pt;height:41.8pt;z-index:251680256"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CB4D8F">
        <w:rPr>
          <w:noProof/>
          <w:lang w:val="en-US"/>
        </w:rPr>
        <w:drawing>
          <wp:inline distT="0" distB="0" distL="0" distR="0">
            <wp:extent cx="5278755" cy="6911340"/>
            <wp:effectExtent l="19050" t="0" r="0" b="0"/>
            <wp:docPr id="18" name="Grafik 17"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D05907">
        <w:rPr>
          <w:b/>
        </w:rPr>
        <w:t>Alpine Space</w:t>
      </w:r>
    </w:p>
    <w:p w:rsidR="006166FD" w:rsidRDefault="006166FD" w:rsidP="00FD4E3A">
      <w:pPr>
        <w:spacing w:after="0" w:line="240" w:lineRule="auto"/>
        <w:jc w:val="left"/>
        <w:rPr>
          <w:noProof/>
          <w:lang w:eastAsia="en-GB"/>
        </w:rPr>
      </w:pPr>
    </w:p>
    <w:p w:rsidR="006166FD" w:rsidRDefault="00CC02B5" w:rsidP="00FD4E3A">
      <w:pPr>
        <w:spacing w:after="0" w:line="240" w:lineRule="auto"/>
        <w:jc w:val="left"/>
        <w:rPr>
          <w:noProof/>
          <w:lang w:eastAsia="en-GB"/>
        </w:rPr>
      </w:pPr>
      <w:r>
        <w:rPr>
          <w:noProof/>
          <w:lang w:val="en-US"/>
        </w:rPr>
        <w:drawing>
          <wp:anchor distT="0" distB="0" distL="114300" distR="114300" simplePos="0" relativeHeight="251688448" behindDoc="0" locked="0" layoutInCell="1" allowOverlap="1">
            <wp:simplePos x="0" y="0"/>
            <wp:positionH relativeFrom="column">
              <wp:posOffset>1408504</wp:posOffset>
            </wp:positionH>
            <wp:positionV relativeFrom="paragraph">
              <wp:posOffset>5153660</wp:posOffset>
            </wp:positionV>
            <wp:extent cx="916615" cy="414669"/>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615" cy="414669"/>
                    </a:xfrm>
                    <a:prstGeom prst="rect">
                      <a:avLst/>
                    </a:prstGeom>
                    <a:noFill/>
                    <a:ln w="9525">
                      <a:noFill/>
                      <a:miter lim="800000"/>
                      <a:headEnd/>
                      <a:tailEnd/>
                    </a:ln>
                  </pic:spPr>
                </pic:pic>
              </a:graphicData>
            </a:graphic>
          </wp:anchor>
        </w:drawing>
      </w:r>
      <w:r w:rsidR="00C57744" w:rsidRPr="00C57744">
        <w:rPr>
          <w:noProof/>
          <w:lang w:val="de-DE" w:eastAsia="de-DE"/>
        </w:rPr>
        <w:pict>
          <v:shape id="_x0000_s1036" style="position:absolute;margin-left:103.2pt;margin-top:242.1pt;width:103.5pt;height:69.2pt;z-index:251684352;mso-position-horizontal-relative:text;mso-position-vertical-relative:text"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CB4D8F">
        <w:rPr>
          <w:noProof/>
          <w:lang w:val="en-US"/>
        </w:rPr>
        <w:drawing>
          <wp:inline distT="0" distB="0" distL="0" distR="0">
            <wp:extent cx="5278755" cy="6141085"/>
            <wp:effectExtent l="19050" t="0" r="0" b="0"/>
            <wp:docPr id="19" name="Grafik 18"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9901B5" w:rsidRDefault="005761A6" w:rsidP="005761A6">
      <w:pPr>
        <w:pStyle w:val="Heading1"/>
      </w:pPr>
      <w:r w:rsidRPr="009901B5">
        <w:lastRenderedPageBreak/>
        <w:t xml:space="preserve">Territorial factors of </w:t>
      </w:r>
      <w:r w:rsidR="009901B5">
        <w:t>interest for the programme area</w:t>
      </w:r>
    </w:p>
    <w:p w:rsidR="00290F99" w:rsidRDefault="00290F99" w:rsidP="00290F9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290F99" w:rsidRDefault="00290F99" w:rsidP="00290F99">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290F99" w:rsidRDefault="00290F99" w:rsidP="00290F99">
      <w:r>
        <w:t xml:space="preserve">The Alpine Space programme area comprises a number of the main metropolitan areas in Europe, which even play an important role in a worldwide perspective. Besides </w:t>
      </w:r>
      <w:r w:rsidRPr="00577C81">
        <w:t>Milan, Munich, Vienna, Zurich, there are also Gen</w:t>
      </w:r>
      <w:r>
        <w:t>e</w:t>
      </w:r>
      <w:r w:rsidRPr="00577C81">
        <w:t>va, Torino, Genoa, Ljubljana, Bern, Lyon, Nice and Marseille.</w:t>
      </w:r>
      <w:r>
        <w:t xml:space="preserve"> The map confirms the presence of both larger metropolitan areas and a number of smaller growth poles such as </w:t>
      </w:r>
      <w:r w:rsidRPr="0041010E">
        <w:t xml:space="preserve">Grenoble, Salzburg, Maribor, </w:t>
      </w:r>
      <w:r>
        <w:t>Innsbruck, Trento, Bolzano</w:t>
      </w:r>
      <w:r w:rsidRPr="0041010E">
        <w:t xml:space="preserve"> and Klagenfurt</w:t>
      </w:r>
      <w:r>
        <w:t xml:space="preserve">. </w:t>
      </w:r>
    </w:p>
    <w:p w:rsidR="00290F99" w:rsidRDefault="00290F99" w:rsidP="00290F99">
      <w:r>
        <w:t xml:space="preserve">However, urban areas are a minor part of the programme area, which is in a European perspective rather dominated by intermediate and rural areas and areas in close proximity to a city. Furthermore, there are a number of remote regions. The map illustrates also territorial differences within the programme area, basically showing a divide between urban centres and the less accessible parts of the Alpine Space.  </w:t>
      </w:r>
    </w:p>
    <w:p w:rsidR="00290F99" w:rsidRDefault="00290F99" w:rsidP="00290F99">
      <w:r>
        <w:t>Although the programme area is largely characterised by good accessibility, both in terms of multimodal accessibility and possibilities for one-day business trips, this is mainly limited to the metropolitan areas. Good accessibility is centred towards large urban agglomerations and major international airports or major train stations whereas other parts of the programme area have accessibility values below European average. Many remote regions of the programme area have considerably less favourable accessibility.</w:t>
      </w:r>
    </w:p>
    <w:p w:rsidR="00290F99" w:rsidRDefault="00290F99" w:rsidP="00290F99">
      <w:r>
        <w:t>With regard to geographic specificities, the programme areas comprises in a European perspective, mainly the mountainous areas as well as the few areas which are considered as sparsely populated in a European perspective.</w:t>
      </w:r>
    </w:p>
    <w:p w:rsidR="00290F99" w:rsidRPr="00082FCD" w:rsidRDefault="00290F99" w:rsidP="00290F99">
      <w:r>
        <w:t>The mountainous character comes with advantages and challenges. Although it does not come with a</w:t>
      </w:r>
      <w:r w:rsidRPr="00082FCD">
        <w:t xml:space="preserve"> </w:t>
      </w:r>
      <w:r>
        <w:t>specific</w:t>
      </w:r>
      <w:r w:rsidRPr="00082FCD">
        <w:t xml:space="preserve"> economic structure, it appears that a significant proportion of </w:t>
      </w:r>
      <w:r>
        <w:t>mountain areas</w:t>
      </w:r>
      <w:r w:rsidRPr="00082FCD">
        <w:t xml:space="preserve"> have high residential attractiveness. This is because of their environmental assets, and often also because of their social and cultural capital, including both history and the closely-knit communities found in small communities. Many mountain areas are also characterised by relatively high levels of biodiversity and protected areas. Furthermore, mountains are the water towers of Europe. </w:t>
      </w:r>
    </w:p>
    <w:p w:rsidR="003C5D09" w:rsidRDefault="003C5D09" w:rsidP="003C5D09">
      <w:pPr>
        <w:rPr>
          <w:highlight w:val="yellow"/>
        </w:rPr>
      </w:pP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D05907">
        <w:rPr>
          <w:b/>
        </w:rPr>
        <w:t>Alpine Space</w:t>
      </w:r>
    </w:p>
    <w:p w:rsidR="0089569C" w:rsidRDefault="0089569C" w:rsidP="0089569C">
      <w:pPr>
        <w:spacing w:after="0" w:line="240" w:lineRule="auto"/>
        <w:jc w:val="left"/>
        <w:rPr>
          <w:noProof/>
          <w:lang w:eastAsia="en-GB"/>
        </w:rPr>
      </w:pPr>
    </w:p>
    <w:p w:rsidR="0089569C" w:rsidRDefault="00C57744" w:rsidP="0089569C">
      <w:pPr>
        <w:spacing w:after="0" w:line="240" w:lineRule="auto"/>
        <w:jc w:val="left"/>
        <w:rPr>
          <w:noProof/>
          <w:lang w:eastAsia="en-GB"/>
        </w:rPr>
      </w:pPr>
      <w:r w:rsidRPr="00C57744">
        <w:rPr>
          <w:noProof/>
          <w:lang w:val="de-DE" w:eastAsia="de-DE"/>
        </w:rPr>
        <w:pict>
          <v:shape id="_x0000_s1037" style="position:absolute;margin-left:123.35pt;margin-top:253pt;width:103.5pt;height:69.2pt;z-index:251685376"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1E1569">
        <w:rPr>
          <w:noProof/>
          <w:lang w:val="en-US"/>
        </w:rPr>
        <w:drawing>
          <wp:inline distT="0" distB="0" distL="0" distR="0">
            <wp:extent cx="5278755" cy="721406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D05907">
        <w:rPr>
          <w:b/>
        </w:rPr>
        <w:t>Alpine Space</w:t>
      </w:r>
    </w:p>
    <w:p w:rsidR="00F94CF4" w:rsidRPr="00021CAB" w:rsidRDefault="00F94CF4" w:rsidP="00F94CF4">
      <w:pPr>
        <w:spacing w:after="240"/>
        <w:rPr>
          <w:i/>
        </w:rPr>
      </w:pPr>
      <w:r w:rsidRPr="00021CAB">
        <w:rPr>
          <w:i/>
        </w:rPr>
        <w:t>“Potential Accessibility Multimodal” scores accessibility of NUTS 3 regions by road, rail and air relative to the European average in an Accessibility Index.</w:t>
      </w:r>
    </w:p>
    <w:p w:rsidR="0089569C" w:rsidRDefault="00C57744" w:rsidP="0089569C">
      <w:pPr>
        <w:spacing w:after="0" w:line="240" w:lineRule="auto"/>
        <w:jc w:val="left"/>
        <w:rPr>
          <w:noProof/>
          <w:lang w:eastAsia="en-GB"/>
        </w:rPr>
      </w:pPr>
      <w:r w:rsidRPr="00C57744">
        <w:rPr>
          <w:i/>
          <w:noProof/>
          <w:lang w:val="de-DE" w:eastAsia="de-DE"/>
        </w:rPr>
        <w:pict>
          <v:shape id="_x0000_s1038" style="position:absolute;margin-left:120.35pt;margin-top:242.05pt;width:120.35pt;height:80.45pt;z-index:251686400" coordsize="3506,2345" path="m78,1175c130,953,236,899,368,767,500,635,748,502,873,380,998,258,1003,61,1121,36v118,-25,340,186,462,193c1705,236,1735,81,1851,79v116,-2,287,140,430,140c2424,219,2570,111,2711,79,2852,47,2998,,3130,25v132,25,376,-16,376,204c3506,449,3286,1130,3130,1347v-156,217,-364,117,-559,183c2376,1596,2161,1670,1959,1745v-202,75,-344,139,-602,236c1099,2078,628,2305,411,2325,194,2345,114,2296,57,2099,,1902,26,1397,78,1175xe" filled="f" strokecolor="#0070c0" strokeweight="2pt">
            <v:path arrowok="t"/>
          </v:shape>
        </w:pict>
      </w:r>
      <w:r w:rsidR="00CB4D8F">
        <w:rPr>
          <w:noProof/>
          <w:lang w:val="en-US"/>
        </w:rPr>
        <w:drawing>
          <wp:inline distT="0" distB="0" distL="0" distR="0">
            <wp:extent cx="5278755" cy="7444105"/>
            <wp:effectExtent l="19050" t="0" r="0" b="0"/>
            <wp:docPr id="21" name="Grafik 20"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290F99" w:rsidRDefault="0019394E" w:rsidP="0019394E">
      <w:pPr>
        <w:pStyle w:val="Heading1"/>
      </w:pPr>
      <w:r w:rsidRPr="00290F99">
        <w:lastRenderedPageBreak/>
        <w:t xml:space="preserve">Recommended ESPON reading </w:t>
      </w:r>
    </w:p>
    <w:p w:rsidR="00290F99" w:rsidRDefault="00290F99" w:rsidP="00290F99">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290F99" w:rsidRDefault="00290F99" w:rsidP="00290F99">
      <w:r>
        <w:t>The table below shows examples of relevant projects for the Cooperation Region. However, you have to study other ESPON reports as well in order to capitalise fully on the European information available for the transnational programming.</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276"/>
        <w:gridCol w:w="7513"/>
      </w:tblGrid>
      <w:tr w:rsidR="00290F99" w:rsidRPr="00362CD8" w:rsidTr="00335DE1">
        <w:trPr>
          <w:trHeight w:val="203"/>
        </w:trPr>
        <w:tc>
          <w:tcPr>
            <w:tcW w:w="1276" w:type="dxa"/>
            <w:shd w:val="clear" w:color="auto" w:fill="auto"/>
          </w:tcPr>
          <w:p w:rsidR="00290F99" w:rsidRPr="007E50A9" w:rsidRDefault="00290F99" w:rsidP="00335DE1">
            <w:pPr>
              <w:spacing w:after="0" w:line="20" w:lineRule="atLeast"/>
              <w:jc w:val="left"/>
              <w:rPr>
                <w:b/>
                <w:sz w:val="14"/>
                <w:szCs w:val="20"/>
              </w:rPr>
            </w:pPr>
            <w:r w:rsidRPr="007E50A9">
              <w:rPr>
                <w:b/>
                <w:sz w:val="14"/>
                <w:szCs w:val="20"/>
              </w:rPr>
              <w:t>ESPON study</w:t>
            </w:r>
          </w:p>
        </w:tc>
        <w:tc>
          <w:tcPr>
            <w:tcW w:w="1276" w:type="dxa"/>
            <w:shd w:val="clear" w:color="auto" w:fill="auto"/>
          </w:tcPr>
          <w:p w:rsidR="00290F99" w:rsidRPr="007E50A9" w:rsidRDefault="00290F99" w:rsidP="00335DE1">
            <w:pPr>
              <w:spacing w:after="0" w:line="20" w:lineRule="atLeast"/>
              <w:rPr>
                <w:b/>
                <w:sz w:val="14"/>
                <w:szCs w:val="20"/>
              </w:rPr>
            </w:pPr>
            <w:r w:rsidRPr="007E50A9">
              <w:rPr>
                <w:b/>
                <w:sz w:val="14"/>
                <w:szCs w:val="20"/>
              </w:rPr>
              <w:t>Topic</w:t>
            </w:r>
          </w:p>
        </w:tc>
        <w:tc>
          <w:tcPr>
            <w:tcW w:w="7513" w:type="dxa"/>
            <w:shd w:val="clear" w:color="auto" w:fill="auto"/>
          </w:tcPr>
          <w:p w:rsidR="00290F99" w:rsidRPr="00EF52BD" w:rsidRDefault="00290F99" w:rsidP="00335DE1">
            <w:pPr>
              <w:spacing w:after="0" w:line="20" w:lineRule="atLeast"/>
              <w:rPr>
                <w:b/>
                <w:sz w:val="14"/>
                <w:szCs w:val="20"/>
              </w:rPr>
            </w:pPr>
            <w:r w:rsidRPr="00EF52BD">
              <w:rPr>
                <w:b/>
                <w:sz w:val="14"/>
                <w:szCs w:val="20"/>
              </w:rPr>
              <w:t>Content</w:t>
            </w:r>
          </w:p>
        </w:tc>
      </w:tr>
      <w:tr w:rsidR="00290F99" w:rsidRPr="00770FE1" w:rsidTr="00335DE1">
        <w:trPr>
          <w:trHeight w:val="418"/>
        </w:trPr>
        <w:tc>
          <w:tcPr>
            <w:tcW w:w="1276" w:type="dxa"/>
            <w:shd w:val="clear" w:color="auto" w:fill="FFFFFF" w:themeFill="background1"/>
          </w:tcPr>
          <w:p w:rsidR="00290F99" w:rsidRPr="007E50A9" w:rsidRDefault="00290F99" w:rsidP="00335DE1">
            <w:pPr>
              <w:spacing w:after="0" w:line="20" w:lineRule="atLeast"/>
              <w:jc w:val="left"/>
              <w:rPr>
                <w:rFonts w:cs="Calibri"/>
                <w:sz w:val="14"/>
                <w:szCs w:val="18"/>
                <w:lang w:eastAsia="fr-FR"/>
              </w:rPr>
            </w:pPr>
            <w:r>
              <w:rPr>
                <w:rFonts w:cs="Calibri"/>
                <w:sz w:val="14"/>
                <w:szCs w:val="18"/>
                <w:lang w:eastAsia="fr-FR"/>
              </w:rPr>
              <w:t>CLIMATE</w:t>
            </w:r>
          </w:p>
          <w:p w:rsidR="00290F99" w:rsidRPr="007E50A9" w:rsidRDefault="00290F99" w:rsidP="00335DE1">
            <w:pPr>
              <w:spacing w:after="0" w:line="20" w:lineRule="atLeast"/>
              <w:jc w:val="left"/>
              <w:rPr>
                <w:rFonts w:cs="Calibri"/>
                <w:sz w:val="14"/>
                <w:szCs w:val="18"/>
                <w:highlight w:val="yellow"/>
                <w:lang w:eastAsia="fr-FR"/>
              </w:rPr>
            </w:pPr>
          </w:p>
        </w:tc>
        <w:tc>
          <w:tcPr>
            <w:tcW w:w="1276" w:type="dxa"/>
            <w:shd w:val="clear" w:color="auto" w:fill="FFFFFF" w:themeFill="background1"/>
          </w:tcPr>
          <w:p w:rsidR="00290F99" w:rsidRPr="007E50A9" w:rsidRDefault="00290F99" w:rsidP="00335DE1">
            <w:pPr>
              <w:spacing w:after="0" w:line="20" w:lineRule="atLeast"/>
              <w:rPr>
                <w:rFonts w:cs="Calibri"/>
                <w:sz w:val="14"/>
                <w:szCs w:val="18"/>
                <w:highlight w:val="yellow"/>
                <w:lang w:eastAsia="fr-FR"/>
              </w:rPr>
            </w:pPr>
            <w:r w:rsidRPr="007E50A9">
              <w:rPr>
                <w:rFonts w:cs="Calibri"/>
                <w:sz w:val="14"/>
                <w:szCs w:val="18"/>
                <w:lang w:eastAsia="fr-FR"/>
              </w:rPr>
              <w:t>Climate change</w:t>
            </w:r>
          </w:p>
        </w:tc>
        <w:tc>
          <w:tcPr>
            <w:tcW w:w="7513" w:type="dxa"/>
            <w:shd w:val="clear" w:color="auto" w:fill="FFFFFF" w:themeFill="background1"/>
          </w:tcPr>
          <w:p w:rsidR="00290F99" w:rsidRPr="00EF52BD" w:rsidRDefault="00290F99" w:rsidP="00335DE1">
            <w:pPr>
              <w:spacing w:after="0" w:line="20" w:lineRule="atLeast"/>
              <w:rPr>
                <w:rFonts w:cs="Calibri"/>
                <w:sz w:val="14"/>
                <w:szCs w:val="18"/>
                <w:lang w:eastAsia="fr-FR"/>
              </w:rPr>
            </w:pPr>
            <w:r w:rsidRPr="00EF52BD">
              <w:rPr>
                <w:rFonts w:cs="Calibri"/>
                <w:sz w:val="14"/>
                <w:szCs w:val="18"/>
                <w:lang w:eastAsia="fr-FR"/>
              </w:rPr>
              <w:t>It analyses how and to which degree climate change will impact on the competitiveness and cohesion of European regions and Europe as a whole. This study analysis Alpine space as a case study (see Annex 1 of the Final Report), including a</w:t>
            </w:r>
            <w:r w:rsidRPr="00EF52BD">
              <w:rPr>
                <w:rFonts w:cs="Verdana"/>
                <w:bCs/>
                <w:sz w:val="14"/>
                <w:szCs w:val="18"/>
                <w:lang w:eastAsia="de-DE"/>
              </w:rPr>
              <w:t xml:space="preserve"> survey on the adaptive capacity in the Alps.</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 xml:space="preserve">SGPTD </w:t>
            </w:r>
          </w:p>
          <w:p w:rsidR="00290F99" w:rsidRPr="007E50A9" w:rsidRDefault="00290F99" w:rsidP="00335DE1">
            <w:pPr>
              <w:spacing w:after="0" w:line="20" w:lineRule="atLeast"/>
              <w:jc w:val="left"/>
              <w:rPr>
                <w:sz w:val="14"/>
                <w:szCs w:val="18"/>
              </w:rPr>
            </w:pP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Growth poles</w:t>
            </w:r>
          </w:p>
        </w:tc>
        <w:tc>
          <w:tcPr>
            <w:tcW w:w="7513" w:type="dxa"/>
            <w:shd w:val="clear" w:color="auto" w:fill="FFFFFF" w:themeFill="background1"/>
          </w:tcPr>
          <w:p w:rsidR="00290F99" w:rsidRPr="00EF52BD" w:rsidRDefault="00290F99" w:rsidP="00335DE1">
            <w:pPr>
              <w:spacing w:after="0" w:line="20" w:lineRule="atLeast"/>
              <w:rPr>
                <w:sz w:val="14"/>
                <w:szCs w:val="18"/>
              </w:rPr>
            </w:pPr>
            <w:r w:rsidRPr="00EF52BD">
              <w:rPr>
                <w:sz w:val="14"/>
                <w:szCs w:val="18"/>
              </w:rPr>
              <w:t>It provides evidence on European secondary cities, their performance and functional roles in different parts of Europe, and the potential policy interventio</w:t>
            </w:r>
            <w:r>
              <w:rPr>
                <w:sz w:val="14"/>
                <w:szCs w:val="18"/>
              </w:rPr>
              <w:t>n affecting their performance</w:t>
            </w:r>
            <w:r w:rsidRPr="00EF52BD">
              <w:rPr>
                <w:sz w:val="14"/>
                <w:szCs w:val="18"/>
              </w:rPr>
              <w:t xml:space="preserve"> </w:t>
            </w:r>
            <w:r w:rsidRPr="00EF4555">
              <w:rPr>
                <w:sz w:val="14"/>
                <w:szCs w:val="18"/>
              </w:rPr>
              <w:t>(see from figure 2 to 2.12).</w:t>
            </w:r>
            <w:r w:rsidRPr="00EF52BD">
              <w:rPr>
                <w:sz w:val="14"/>
                <w:szCs w:val="18"/>
              </w:rPr>
              <w:t>The case studies include Munich and Turin (annex of the Scientific Report).</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 xml:space="preserve">ATTREG </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Attractiveness</w:t>
            </w:r>
          </w:p>
        </w:tc>
        <w:tc>
          <w:tcPr>
            <w:tcW w:w="7513" w:type="dxa"/>
            <w:shd w:val="clear" w:color="auto" w:fill="FFFFFF" w:themeFill="background1"/>
          </w:tcPr>
          <w:p w:rsidR="00290F99" w:rsidRPr="00EF52BD" w:rsidRDefault="00290F99" w:rsidP="00335DE1">
            <w:pPr>
              <w:pStyle w:val="ListParagraph"/>
              <w:spacing w:after="0" w:line="20" w:lineRule="atLeast"/>
              <w:ind w:left="0"/>
              <w:rPr>
                <w:rFonts w:cs="Calibri"/>
                <w:sz w:val="14"/>
                <w:szCs w:val="18"/>
                <w:lang w:eastAsia="fr-FR"/>
              </w:rPr>
            </w:pPr>
            <w:r w:rsidRPr="00EF52BD">
              <w:rPr>
                <w:sz w:val="14"/>
                <w:szCs w:val="18"/>
              </w:rPr>
              <w:t xml:space="preserve">It provides a better understanding of the contribution of European regions’ and cities’ attractiveness to economic performance and it identifies the key ingredients of attractiveness in different types of territories. The case studies include the region of Trento </w:t>
            </w:r>
            <w:r w:rsidRPr="00EF52BD">
              <w:rPr>
                <w:rFonts w:cs="Calibri"/>
                <w:sz w:val="14"/>
                <w:szCs w:val="18"/>
                <w:lang w:eastAsia="fr-FR"/>
              </w:rPr>
              <w:t>(see Annex 4/8) and Slovenia (see Annex 4/7).</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GEOSPECS</w:t>
            </w:r>
          </w:p>
        </w:tc>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Specific types of territories</w:t>
            </w:r>
          </w:p>
        </w:tc>
        <w:tc>
          <w:tcPr>
            <w:tcW w:w="7513" w:type="dxa"/>
            <w:shd w:val="clear" w:color="auto" w:fill="FFFFFF" w:themeFill="background1"/>
          </w:tcPr>
          <w:p w:rsidR="00290F99" w:rsidRPr="00EF52BD" w:rsidRDefault="00290F99" w:rsidP="00335DE1">
            <w:pPr>
              <w:spacing w:after="0" w:line="20" w:lineRule="atLeast"/>
              <w:rPr>
                <w:sz w:val="14"/>
                <w:szCs w:val="18"/>
              </w:rPr>
            </w:pPr>
            <w:r w:rsidRPr="00EF52BD">
              <w:rPr>
                <w:sz w:val="14"/>
                <w:szCs w:val="18"/>
              </w:rPr>
              <w:t>It provides evidence on the strength, weaknesses and development opportunities of specific types o</w:t>
            </w:r>
            <w:r>
              <w:rPr>
                <w:sz w:val="14"/>
                <w:szCs w:val="18"/>
              </w:rPr>
              <w:t>f territories and regions incl. mountain areas</w:t>
            </w:r>
            <w:r w:rsidRPr="00EF52BD">
              <w:rPr>
                <w:sz w:val="14"/>
                <w:szCs w:val="18"/>
              </w:rPr>
              <w:t>. The case studies include the Jura massif (Annex 25 of the Scientific Report), and the Metropolitan Region of Geneva (Annex 38 of the Scientific Report).</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DEMIFER</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Demography</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rFonts w:cs="Calibri"/>
                <w:sz w:val="14"/>
                <w:szCs w:val="18"/>
                <w:lang w:eastAsia="fr-FR"/>
              </w:rPr>
            </w:pPr>
            <w:r w:rsidRPr="00EF52BD">
              <w:rPr>
                <w:sz w:val="14"/>
                <w:szCs w:val="18"/>
              </w:rPr>
              <w:t xml:space="preserve">It provides evidence on the regional effects of migration on Europe's demographic future.  The case studies include Munich </w:t>
            </w:r>
            <w:r w:rsidRPr="00EF52BD">
              <w:rPr>
                <w:rFonts w:cs="Calibri"/>
                <w:sz w:val="14"/>
                <w:szCs w:val="18"/>
                <w:lang w:eastAsia="fr-FR"/>
              </w:rPr>
              <w:t>(see Annex D12-2) and Torino</w:t>
            </w:r>
            <w:r>
              <w:rPr>
                <w:rFonts w:cs="Calibri"/>
                <w:sz w:val="14"/>
                <w:szCs w:val="18"/>
                <w:lang w:eastAsia="fr-FR"/>
              </w:rPr>
              <w:t xml:space="preserve"> (see </w:t>
            </w:r>
            <w:r w:rsidRPr="00EF52BD">
              <w:rPr>
                <w:rFonts w:cs="Calibri"/>
                <w:sz w:val="14"/>
                <w:szCs w:val="18"/>
                <w:lang w:eastAsia="fr-FR"/>
              </w:rPr>
              <w:t>Annex D12-7).</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Pr>
                <w:sz w:val="14"/>
                <w:szCs w:val="18"/>
              </w:rPr>
              <w:t xml:space="preserve">SS-LR or </w:t>
            </w:r>
            <w:r>
              <w:rPr>
                <w:sz w:val="14"/>
                <w:szCs w:val="18"/>
              </w:rPr>
              <w:br/>
              <w:t>SPAN-3</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Scenarios</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sz w:val="14"/>
                <w:szCs w:val="18"/>
              </w:rPr>
            </w:pPr>
            <w:r w:rsidRPr="00EF52BD">
              <w:rPr>
                <w:sz w:val="14"/>
                <w:szCs w:val="18"/>
              </w:rPr>
              <w:t>The project develops and applies regional forecasting methodologies and instruments at the appropriate territorial scale, responding to functional local-regional territories. A particular focus is on</w:t>
            </w:r>
            <w:r w:rsidRPr="00EF52BD">
              <w:rPr>
                <w:rFonts w:cs="Calibri"/>
                <w:sz w:val="14"/>
                <w:szCs w:val="18"/>
                <w:lang w:eastAsia="fr-FR"/>
              </w:rPr>
              <w:t xml:space="preserve"> the Latin Arc.</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 xml:space="preserve">EATIA </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Territorial impact assessment</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sz w:val="14"/>
                <w:szCs w:val="18"/>
              </w:rPr>
            </w:pPr>
            <w:r w:rsidRPr="00EF52BD">
              <w:rPr>
                <w:sz w:val="14"/>
                <w:szCs w:val="18"/>
              </w:rPr>
              <w:t xml:space="preserve">It tests the practical use of existing methods and tools for Territorial Impact Assessment, by EU Member States, by the European Commission as well as within the ESPON 2006 and 2013 programmes. A particular focus is on Slovenia (Annex 2).  </w:t>
            </w:r>
          </w:p>
        </w:tc>
      </w:tr>
      <w:tr w:rsidR="00290F99" w:rsidRPr="00770FE1"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METROBORDER</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Metropolitan regions</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sz w:val="14"/>
                <w:szCs w:val="18"/>
              </w:rPr>
            </w:pPr>
            <w:r w:rsidRPr="00EF52BD">
              <w:rPr>
                <w:sz w:val="14"/>
                <w:szCs w:val="18"/>
              </w:rPr>
              <w:t xml:space="preserve">It identifies criteria, potentials and governance practices for polycentric cross-border metropolitan regions in Europe. One case study is on the “Upper Rhine”. </w:t>
            </w:r>
          </w:p>
        </w:tc>
      </w:tr>
      <w:tr w:rsidR="00290F99" w:rsidRPr="00B202DA" w:rsidTr="00335DE1">
        <w:trPr>
          <w:trHeight w:val="274"/>
        </w:trPr>
        <w:tc>
          <w:tcPr>
            <w:tcW w:w="1276" w:type="dxa"/>
            <w:shd w:val="clear" w:color="auto" w:fill="FFFFFF" w:themeFill="background1"/>
          </w:tcPr>
          <w:p w:rsidR="00290F99" w:rsidRPr="002168D7" w:rsidRDefault="00290F99" w:rsidP="00335DE1">
            <w:pPr>
              <w:spacing w:after="0" w:line="20" w:lineRule="atLeast"/>
              <w:jc w:val="left"/>
              <w:rPr>
                <w:sz w:val="14"/>
                <w:szCs w:val="18"/>
              </w:rPr>
            </w:pPr>
            <w:r w:rsidRPr="002168D7">
              <w:rPr>
                <w:sz w:val="14"/>
                <w:szCs w:val="18"/>
              </w:rPr>
              <w:t xml:space="preserve">TeDi </w:t>
            </w:r>
          </w:p>
        </w:tc>
        <w:tc>
          <w:tcPr>
            <w:tcW w:w="1276" w:type="dxa"/>
            <w:shd w:val="clear" w:color="auto" w:fill="FFFFFF" w:themeFill="background1"/>
          </w:tcPr>
          <w:p w:rsidR="00290F99" w:rsidRPr="002168D7" w:rsidRDefault="00290F99" w:rsidP="00335DE1">
            <w:pPr>
              <w:spacing w:after="0" w:line="20" w:lineRule="atLeast"/>
              <w:rPr>
                <w:sz w:val="14"/>
                <w:szCs w:val="18"/>
              </w:rPr>
            </w:pPr>
            <w:r w:rsidRPr="002168D7">
              <w:rPr>
                <w:sz w:val="14"/>
                <w:szCs w:val="18"/>
              </w:rPr>
              <w:t>Territorial diversity</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rFonts w:cs="Calibri"/>
                <w:sz w:val="14"/>
                <w:szCs w:val="18"/>
                <w:lang w:eastAsia="fr-FR"/>
              </w:rPr>
            </w:pPr>
            <w:r w:rsidRPr="00EF52BD">
              <w:rPr>
                <w:sz w:val="14"/>
                <w:szCs w:val="18"/>
              </w:rPr>
              <w:t>It provides a better understanding of development processes in territories that are defined as insular, mountainous, sparsely populated or peripheral. The case studies include J</w:t>
            </w:r>
            <w:r w:rsidRPr="00EF52BD">
              <w:rPr>
                <w:rFonts w:cs="Calibri"/>
                <w:sz w:val="14"/>
                <w:szCs w:val="18"/>
                <w:lang w:eastAsia="fr-FR"/>
              </w:rPr>
              <w:t>ura and Valais in Switzerlan</w:t>
            </w:r>
            <w:r>
              <w:rPr>
                <w:rFonts w:cs="Calibri"/>
                <w:sz w:val="14"/>
                <w:szCs w:val="18"/>
                <w:lang w:eastAsia="fr-FR"/>
              </w:rPr>
              <w:t>d</w:t>
            </w:r>
            <w:r w:rsidRPr="00EF52BD">
              <w:rPr>
                <w:rFonts w:cs="Calibri"/>
                <w:sz w:val="14"/>
                <w:szCs w:val="18"/>
                <w:lang w:eastAsia="fr-FR"/>
              </w:rPr>
              <w:t xml:space="preserve">. </w:t>
            </w:r>
          </w:p>
        </w:tc>
      </w:tr>
      <w:tr w:rsidR="00290F99" w:rsidRPr="009F2F58"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POLYCE</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Metropolitan regions</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sz w:val="14"/>
                <w:szCs w:val="18"/>
                <w:lang w:val="it-IT"/>
              </w:rPr>
            </w:pPr>
            <w:r w:rsidRPr="00EF52BD">
              <w:rPr>
                <w:sz w:val="14"/>
                <w:szCs w:val="18"/>
              </w:rPr>
              <w:t>It studies characteristics of the polycentric system on regional and metropolitan level in order to identify competitive and cooperative asp</w:t>
            </w:r>
            <w:r>
              <w:rPr>
                <w:sz w:val="14"/>
                <w:szCs w:val="18"/>
              </w:rPr>
              <w:t>ects between the metropolises, and</w:t>
            </w:r>
            <w:r w:rsidRPr="00EF52BD">
              <w:rPr>
                <w:sz w:val="14"/>
                <w:szCs w:val="18"/>
              </w:rPr>
              <w:t xml:space="preserve"> distinct characteristics and assessing their development potentials. The case studies include L</w:t>
            </w:r>
            <w:r w:rsidRPr="00EF52BD">
              <w:rPr>
                <w:rFonts w:cs="Calibri"/>
                <w:sz w:val="14"/>
                <w:szCs w:val="18"/>
                <w:lang w:eastAsia="fr-FR"/>
              </w:rPr>
              <w:t xml:space="preserve">jubljana and Vienna. </w:t>
            </w:r>
          </w:p>
        </w:tc>
      </w:tr>
      <w:tr w:rsidR="00290F99" w:rsidRPr="00FF04A6" w:rsidTr="00335DE1">
        <w:trPr>
          <w:trHeight w:val="274"/>
        </w:trPr>
        <w:tc>
          <w:tcPr>
            <w:tcW w:w="1276" w:type="dxa"/>
            <w:shd w:val="clear" w:color="auto" w:fill="FFFFFF" w:themeFill="background1"/>
          </w:tcPr>
          <w:p w:rsidR="00290F99" w:rsidRPr="007E50A9" w:rsidRDefault="00290F99" w:rsidP="00335DE1">
            <w:pPr>
              <w:spacing w:after="0" w:line="20" w:lineRule="atLeast"/>
              <w:jc w:val="left"/>
              <w:rPr>
                <w:sz w:val="14"/>
                <w:szCs w:val="18"/>
              </w:rPr>
            </w:pPr>
            <w:r w:rsidRPr="007E50A9">
              <w:rPr>
                <w:sz w:val="14"/>
                <w:szCs w:val="18"/>
              </w:rPr>
              <w:t xml:space="preserve">ReRisk </w:t>
            </w:r>
          </w:p>
        </w:tc>
        <w:tc>
          <w:tcPr>
            <w:tcW w:w="1276" w:type="dxa"/>
            <w:shd w:val="clear" w:color="auto" w:fill="FFFFFF" w:themeFill="background1"/>
          </w:tcPr>
          <w:p w:rsidR="00290F99" w:rsidRPr="007E50A9" w:rsidRDefault="00290F99" w:rsidP="00335DE1">
            <w:pPr>
              <w:spacing w:after="0" w:line="20" w:lineRule="atLeast"/>
              <w:rPr>
                <w:sz w:val="14"/>
                <w:szCs w:val="18"/>
              </w:rPr>
            </w:pPr>
            <w:r w:rsidRPr="007E50A9">
              <w:rPr>
                <w:sz w:val="14"/>
                <w:szCs w:val="18"/>
              </w:rPr>
              <w:t>Energy</w:t>
            </w:r>
          </w:p>
        </w:tc>
        <w:tc>
          <w:tcPr>
            <w:tcW w:w="7513" w:type="dxa"/>
            <w:shd w:val="clear" w:color="auto" w:fill="FFFFFF" w:themeFill="background1"/>
          </w:tcPr>
          <w:p w:rsidR="00290F99" w:rsidRPr="00EF52BD" w:rsidRDefault="00290F99" w:rsidP="00335DE1">
            <w:pPr>
              <w:autoSpaceDE w:val="0"/>
              <w:autoSpaceDN w:val="0"/>
              <w:adjustRightInd w:val="0"/>
              <w:spacing w:after="0" w:line="240" w:lineRule="auto"/>
              <w:rPr>
                <w:sz w:val="14"/>
                <w:szCs w:val="18"/>
              </w:rPr>
            </w:pPr>
            <w:r w:rsidRPr="00EF52BD">
              <w:rPr>
                <w:sz w:val="14"/>
                <w:szCs w:val="18"/>
              </w:rPr>
              <w:t xml:space="preserve">It focuses on opportunities to support competitive and clean energy supplies for regions in Europe and to generate and strengthen sustainable energy sources. One of the case studies is the city of Freiburg in Germany. </w:t>
            </w:r>
          </w:p>
        </w:tc>
      </w:tr>
      <w:tr w:rsidR="00290F99" w:rsidRPr="00FF04A6" w:rsidTr="00335DE1">
        <w:trPr>
          <w:trHeight w:val="274"/>
        </w:trPr>
        <w:tc>
          <w:tcPr>
            <w:tcW w:w="1276" w:type="dxa"/>
            <w:shd w:val="clear" w:color="auto" w:fill="FFFFFF" w:themeFill="background1"/>
          </w:tcPr>
          <w:p w:rsidR="00290F99" w:rsidRPr="00EF4555" w:rsidRDefault="00290F99" w:rsidP="00335DE1">
            <w:pPr>
              <w:autoSpaceDE w:val="0"/>
              <w:autoSpaceDN w:val="0"/>
              <w:adjustRightInd w:val="0"/>
              <w:spacing w:after="0" w:line="240" w:lineRule="auto"/>
              <w:rPr>
                <w:sz w:val="14"/>
                <w:szCs w:val="18"/>
              </w:rPr>
            </w:pPr>
            <w:r w:rsidRPr="00EF4555">
              <w:rPr>
                <w:sz w:val="14"/>
                <w:szCs w:val="18"/>
              </w:rPr>
              <w:t>KIT</w:t>
            </w:r>
          </w:p>
        </w:tc>
        <w:tc>
          <w:tcPr>
            <w:tcW w:w="1276" w:type="dxa"/>
            <w:shd w:val="clear" w:color="auto" w:fill="FFFFFF" w:themeFill="background1"/>
          </w:tcPr>
          <w:p w:rsidR="00290F99" w:rsidRPr="00EF4555" w:rsidRDefault="00290F99" w:rsidP="00335DE1">
            <w:pPr>
              <w:autoSpaceDE w:val="0"/>
              <w:autoSpaceDN w:val="0"/>
              <w:adjustRightInd w:val="0"/>
              <w:spacing w:after="0" w:line="240" w:lineRule="auto"/>
              <w:rPr>
                <w:sz w:val="14"/>
                <w:szCs w:val="18"/>
              </w:rPr>
            </w:pPr>
            <w:r w:rsidRPr="00EF4555">
              <w:rPr>
                <w:sz w:val="14"/>
                <w:szCs w:val="18"/>
              </w:rPr>
              <w:t>Innovation</w:t>
            </w:r>
          </w:p>
        </w:tc>
        <w:tc>
          <w:tcPr>
            <w:tcW w:w="7513" w:type="dxa"/>
            <w:shd w:val="clear" w:color="auto" w:fill="FFFFFF" w:themeFill="background1"/>
          </w:tcPr>
          <w:p w:rsidR="00290F99" w:rsidRPr="00EF4555" w:rsidRDefault="00290F99" w:rsidP="00335DE1">
            <w:pPr>
              <w:autoSpaceDE w:val="0"/>
              <w:autoSpaceDN w:val="0"/>
              <w:adjustRightInd w:val="0"/>
              <w:spacing w:after="0" w:line="240" w:lineRule="auto"/>
              <w:rPr>
                <w:sz w:val="14"/>
                <w:szCs w:val="18"/>
              </w:rPr>
            </w:pPr>
            <w:r w:rsidRPr="00EF4555">
              <w:rPr>
                <w:sz w:val="14"/>
                <w:szCs w:val="18"/>
              </w:rPr>
              <w:t>It describes patterns and potentials of regions in terms of knowledge and innovation economy and explores development opportunities (see from map 3.1.1 to 4.4.1). It provides some case studies on Cambridge, Oxford, Cardiff and West Wales (see Draft Final Scientific Report, Vol. 2, 3).</w:t>
            </w:r>
          </w:p>
        </w:tc>
      </w:tr>
      <w:tr w:rsidR="00290F99" w:rsidRPr="00FF04A6" w:rsidTr="00335DE1">
        <w:trPr>
          <w:trHeight w:val="274"/>
        </w:trPr>
        <w:tc>
          <w:tcPr>
            <w:tcW w:w="1276" w:type="dxa"/>
            <w:shd w:val="clear" w:color="auto" w:fill="FFFFFF" w:themeFill="background1"/>
          </w:tcPr>
          <w:p w:rsidR="00290F99" w:rsidRPr="00EF4555" w:rsidRDefault="00290F99" w:rsidP="00335DE1">
            <w:pPr>
              <w:autoSpaceDE w:val="0"/>
              <w:autoSpaceDN w:val="0"/>
              <w:adjustRightInd w:val="0"/>
              <w:spacing w:after="0" w:line="240" w:lineRule="auto"/>
              <w:rPr>
                <w:sz w:val="14"/>
                <w:szCs w:val="18"/>
              </w:rPr>
            </w:pPr>
            <w:r w:rsidRPr="00EF4555">
              <w:rPr>
                <w:sz w:val="14"/>
                <w:szCs w:val="18"/>
              </w:rPr>
              <w:t xml:space="preserve">TRANSMEC </w:t>
            </w:r>
          </w:p>
        </w:tc>
        <w:tc>
          <w:tcPr>
            <w:tcW w:w="1276" w:type="dxa"/>
            <w:shd w:val="clear" w:color="auto" w:fill="FFFFFF" w:themeFill="background1"/>
          </w:tcPr>
          <w:p w:rsidR="00290F99" w:rsidRPr="00EF4555" w:rsidRDefault="00290F99" w:rsidP="00335DE1">
            <w:pPr>
              <w:autoSpaceDE w:val="0"/>
              <w:autoSpaceDN w:val="0"/>
              <w:adjustRightInd w:val="0"/>
              <w:spacing w:after="0" w:line="240" w:lineRule="auto"/>
              <w:rPr>
                <w:sz w:val="14"/>
                <w:szCs w:val="18"/>
              </w:rPr>
            </w:pPr>
            <w:r w:rsidRPr="00EF4555">
              <w:rPr>
                <w:sz w:val="14"/>
                <w:szCs w:val="18"/>
              </w:rPr>
              <w:t>European cooperation</w:t>
            </w:r>
          </w:p>
        </w:tc>
        <w:tc>
          <w:tcPr>
            <w:tcW w:w="7513" w:type="dxa"/>
            <w:shd w:val="clear" w:color="auto" w:fill="FFFFFF" w:themeFill="background1"/>
          </w:tcPr>
          <w:p w:rsidR="00290F99" w:rsidRPr="00EF4555" w:rsidRDefault="00290F99" w:rsidP="00335DE1">
            <w:pPr>
              <w:autoSpaceDE w:val="0"/>
              <w:autoSpaceDN w:val="0"/>
              <w:adjustRightInd w:val="0"/>
              <w:spacing w:after="0" w:line="240" w:lineRule="auto"/>
              <w:rPr>
                <w:sz w:val="14"/>
                <w:szCs w:val="18"/>
              </w:rPr>
            </w:pPr>
            <w:r w:rsidRPr="00EF4555">
              <w:rPr>
                <w:sz w:val="14"/>
                <w:szCs w:val="18"/>
              </w:rPr>
              <w:t xml:space="preserve">It develops a method providing guidance on how ESPON results can add value to support territorial cooperation programmes (see map 27 and from map 36 to 39 on potential accessibility indicators). The method is applied for the Northwest-Europe cooperation area. </w:t>
            </w:r>
          </w:p>
        </w:tc>
      </w:tr>
    </w:tbl>
    <w:p w:rsidR="00290F99" w:rsidRDefault="00290F99" w:rsidP="00290F99">
      <w:pPr>
        <w:spacing w:before="120"/>
      </w:pPr>
      <w:r>
        <w:t>Furthermore, some of overall ESPON products of particular interest for territorial cooperation are:</w:t>
      </w:r>
    </w:p>
    <w:p w:rsidR="00290F99" w:rsidRDefault="00290F99" w:rsidP="00290F99">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290F99" w:rsidRDefault="00290F99" w:rsidP="00290F99">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290F99" w:rsidRPr="00A33083" w:rsidRDefault="00290F99" w:rsidP="00290F99">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290F99" w:rsidRDefault="00290F99" w:rsidP="00290F99">
      <w:pPr>
        <w:pStyle w:val="ListParagraph"/>
        <w:numPr>
          <w:ilvl w:val="0"/>
          <w:numId w:val="4"/>
        </w:numPr>
      </w:pPr>
      <w:r w:rsidRPr="00112693">
        <w:rPr>
          <w:b/>
        </w:rPr>
        <w:t>ESPON Hyperaltas</w:t>
      </w:r>
      <w:r w:rsidRPr="000B4718">
        <w:t xml:space="preserve"> </w:t>
      </w:r>
      <w:r>
        <w:t xml:space="preserve">allows </w:t>
      </w:r>
      <w:r w:rsidR="00CE70DF">
        <w:t>comparing and analysing</w:t>
      </w:r>
      <w:r>
        <w:t xml:space="preserve"> a</w:t>
      </w:r>
      <w:r w:rsidRPr="000B4718">
        <w:t xml:space="preserve"> region’s relative position at European, national and local scale for a </w:t>
      </w:r>
      <w:r>
        <w:t>wide range of</w:t>
      </w:r>
      <w:r w:rsidRPr="000B4718">
        <w:t xml:space="preserve"> criteria.</w:t>
      </w:r>
    </w:p>
    <w:p w:rsidR="00290F99" w:rsidRPr="00CD642B" w:rsidRDefault="00290F99" w:rsidP="00290F99">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290F99" w:rsidRDefault="00290F99" w:rsidP="00290F99">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B71B2" w:rsidRDefault="00290F99" w:rsidP="00290F99">
      <w:pPr>
        <w:jc w:val="center"/>
        <w:rPr>
          <w:b/>
        </w:rPr>
      </w:pPr>
      <w:r w:rsidRPr="00CD642B">
        <w:t>All ESPON reports and tools are freely available at</w:t>
      </w:r>
      <w:r>
        <w:br/>
      </w:r>
      <w:hyperlink r:id="rId26" w:history="1">
        <w:r w:rsidR="009B71B2" w:rsidRPr="00E11FA2">
          <w:rPr>
            <w:rStyle w:val="Hyperlink"/>
            <w:b/>
          </w:rPr>
          <w:t>www.espon.eu</w:t>
        </w:r>
      </w:hyperlink>
    </w:p>
    <w:p w:rsidR="003C5D09" w:rsidRPr="002677EF" w:rsidRDefault="009B71B2" w:rsidP="002677EF">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C57744" w:rsidRPr="00C57744">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D40" w:rsidRDefault="00CA0D40">
      <w:r>
        <w:separator/>
      </w:r>
    </w:p>
  </w:endnote>
  <w:endnote w:type="continuationSeparator" w:id="0">
    <w:p w:rsidR="00CA0D40" w:rsidRDefault="00CA0D4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C57744" w:rsidP="00BC65E1">
    <w:pPr>
      <w:framePr w:wrap="around" w:vAnchor="text" w:hAnchor="margin" w:xAlign="right" w:y="1"/>
      <w:rPr>
        <w:rStyle w:val="PageNumber"/>
      </w:rPr>
    </w:pPr>
    <w:r>
      <w:rPr>
        <w:rStyle w:val="PageNumber"/>
      </w:rPr>
      <w:fldChar w:fldCharType="begin"/>
    </w:r>
    <w:r w:rsidR="000D11C2">
      <w:rPr>
        <w:rStyle w:val="PageNumber"/>
      </w:rPr>
      <w:instrText xml:space="preserve">PAGE  </w:instrText>
    </w:r>
    <w:r>
      <w:rPr>
        <w:rStyle w:val="PageNumber"/>
      </w:rPr>
      <w:fldChar w:fldCharType="separate"/>
    </w:r>
    <w:r w:rsidR="000D11C2">
      <w:rPr>
        <w:rStyle w:val="PageNumber"/>
        <w:noProof/>
      </w:rPr>
      <w:t>3</w:t>
    </w:r>
    <w:r>
      <w:rPr>
        <w:rStyle w:val="PageNumber"/>
      </w:rPr>
      <w:fldChar w:fldCharType="end"/>
    </w:r>
  </w:p>
  <w:p w:rsidR="000D11C2" w:rsidRDefault="000D11C2">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C57744"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2677EF">
      <w:rPr>
        <w:rStyle w:val="PageNumber"/>
        <w:noProof/>
        <w:szCs w:val="20"/>
      </w:rPr>
      <w:t>1</w:t>
    </w:r>
    <w:r w:rsidRPr="00A15B61">
      <w:rPr>
        <w:rStyle w:val="PageNumber"/>
        <w:szCs w:val="20"/>
      </w:rPr>
      <w:fldChar w:fldCharType="end"/>
    </w:r>
  </w:p>
  <w:p w:rsidR="000D11C2" w:rsidRPr="00A15B61" w:rsidRDefault="000D11C2"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C57744"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2677EF">
      <w:rPr>
        <w:rStyle w:val="PageNumber"/>
        <w:noProof/>
        <w:szCs w:val="20"/>
      </w:rPr>
      <w:t>2</w:t>
    </w:r>
    <w:r w:rsidRPr="00A15B61">
      <w:rPr>
        <w:rStyle w:val="PageNumber"/>
        <w:szCs w:val="20"/>
      </w:rPr>
      <w:fldChar w:fldCharType="end"/>
    </w:r>
  </w:p>
  <w:p w:rsidR="000D11C2" w:rsidRPr="00A15B61" w:rsidRDefault="000D11C2"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D40" w:rsidRDefault="00CA0D40">
      <w:r>
        <w:separator/>
      </w:r>
    </w:p>
  </w:footnote>
  <w:footnote w:type="continuationSeparator" w:id="0">
    <w:p w:rsidR="00CA0D40" w:rsidRDefault="00CA0D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C57744">
    <w:pPr>
      <w:pStyle w:val="Header"/>
    </w:pPr>
    <w:r w:rsidRPr="00C57744">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D11C2">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D1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91F38"/>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7D6"/>
    <w:rsid w:val="000D6C64"/>
    <w:rsid w:val="000D7CC4"/>
    <w:rsid w:val="000E592C"/>
    <w:rsid w:val="000E6CC8"/>
    <w:rsid w:val="000E76EB"/>
    <w:rsid w:val="000F1BA2"/>
    <w:rsid w:val="000F2140"/>
    <w:rsid w:val="000F4706"/>
    <w:rsid w:val="00105B9D"/>
    <w:rsid w:val="001120BB"/>
    <w:rsid w:val="00112693"/>
    <w:rsid w:val="001163A1"/>
    <w:rsid w:val="001175D3"/>
    <w:rsid w:val="00117B90"/>
    <w:rsid w:val="001245F9"/>
    <w:rsid w:val="00124BDE"/>
    <w:rsid w:val="0012533B"/>
    <w:rsid w:val="001260F4"/>
    <w:rsid w:val="00127104"/>
    <w:rsid w:val="00133602"/>
    <w:rsid w:val="00134DC7"/>
    <w:rsid w:val="0013600B"/>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ECB"/>
    <w:rsid w:val="001E1569"/>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53237"/>
    <w:rsid w:val="0025373C"/>
    <w:rsid w:val="0026077F"/>
    <w:rsid w:val="00264534"/>
    <w:rsid w:val="00265996"/>
    <w:rsid w:val="00265B7D"/>
    <w:rsid w:val="002677EF"/>
    <w:rsid w:val="00276DA6"/>
    <w:rsid w:val="00281A82"/>
    <w:rsid w:val="00282854"/>
    <w:rsid w:val="00285BF3"/>
    <w:rsid w:val="00290F99"/>
    <w:rsid w:val="002923B9"/>
    <w:rsid w:val="00293ABA"/>
    <w:rsid w:val="00293DE9"/>
    <w:rsid w:val="00294042"/>
    <w:rsid w:val="002949F4"/>
    <w:rsid w:val="002973FF"/>
    <w:rsid w:val="002977F3"/>
    <w:rsid w:val="002A2C96"/>
    <w:rsid w:val="002A2FA4"/>
    <w:rsid w:val="002A7776"/>
    <w:rsid w:val="002B1929"/>
    <w:rsid w:val="002B51CA"/>
    <w:rsid w:val="002B71A8"/>
    <w:rsid w:val="002C06ED"/>
    <w:rsid w:val="002C2CBC"/>
    <w:rsid w:val="002C4473"/>
    <w:rsid w:val="002C780D"/>
    <w:rsid w:val="002D1443"/>
    <w:rsid w:val="002D3185"/>
    <w:rsid w:val="002D429C"/>
    <w:rsid w:val="002D5B13"/>
    <w:rsid w:val="002E0490"/>
    <w:rsid w:val="002E20E5"/>
    <w:rsid w:val="002E529A"/>
    <w:rsid w:val="002E619E"/>
    <w:rsid w:val="002E6413"/>
    <w:rsid w:val="002F1D75"/>
    <w:rsid w:val="002F4B38"/>
    <w:rsid w:val="002F713F"/>
    <w:rsid w:val="003006FE"/>
    <w:rsid w:val="00303833"/>
    <w:rsid w:val="00304555"/>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5A02"/>
    <w:rsid w:val="0040760B"/>
    <w:rsid w:val="00410A29"/>
    <w:rsid w:val="004122A0"/>
    <w:rsid w:val="004173E4"/>
    <w:rsid w:val="004177FC"/>
    <w:rsid w:val="0042391C"/>
    <w:rsid w:val="0042502E"/>
    <w:rsid w:val="004277D0"/>
    <w:rsid w:val="00433090"/>
    <w:rsid w:val="004353CB"/>
    <w:rsid w:val="0044029A"/>
    <w:rsid w:val="0044604E"/>
    <w:rsid w:val="00447210"/>
    <w:rsid w:val="00454825"/>
    <w:rsid w:val="0045644D"/>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2230"/>
    <w:rsid w:val="004E39BD"/>
    <w:rsid w:val="004E3B1D"/>
    <w:rsid w:val="004F0F17"/>
    <w:rsid w:val="004F26B8"/>
    <w:rsid w:val="004F4013"/>
    <w:rsid w:val="004F6946"/>
    <w:rsid w:val="00500A22"/>
    <w:rsid w:val="005023B0"/>
    <w:rsid w:val="00502D0D"/>
    <w:rsid w:val="00502E0A"/>
    <w:rsid w:val="005030BC"/>
    <w:rsid w:val="00505959"/>
    <w:rsid w:val="005070C8"/>
    <w:rsid w:val="00507A4D"/>
    <w:rsid w:val="00511059"/>
    <w:rsid w:val="005131EA"/>
    <w:rsid w:val="005137B5"/>
    <w:rsid w:val="00520876"/>
    <w:rsid w:val="00524215"/>
    <w:rsid w:val="005252AC"/>
    <w:rsid w:val="00525B0C"/>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1055"/>
    <w:rsid w:val="00582C35"/>
    <w:rsid w:val="00585345"/>
    <w:rsid w:val="00593AD0"/>
    <w:rsid w:val="00593B7A"/>
    <w:rsid w:val="00595161"/>
    <w:rsid w:val="00595CBA"/>
    <w:rsid w:val="005967A2"/>
    <w:rsid w:val="00597872"/>
    <w:rsid w:val="005A2A0B"/>
    <w:rsid w:val="005A3E20"/>
    <w:rsid w:val="005A4866"/>
    <w:rsid w:val="005A73D9"/>
    <w:rsid w:val="005A7DFC"/>
    <w:rsid w:val="005B3722"/>
    <w:rsid w:val="005B51C5"/>
    <w:rsid w:val="005C108D"/>
    <w:rsid w:val="005C58DE"/>
    <w:rsid w:val="005C6D17"/>
    <w:rsid w:val="005D0C21"/>
    <w:rsid w:val="005D2D0B"/>
    <w:rsid w:val="005D53EE"/>
    <w:rsid w:val="005D621D"/>
    <w:rsid w:val="005D632A"/>
    <w:rsid w:val="005D78FE"/>
    <w:rsid w:val="005E463C"/>
    <w:rsid w:val="005E4E4C"/>
    <w:rsid w:val="005E586B"/>
    <w:rsid w:val="005E6290"/>
    <w:rsid w:val="005F24DD"/>
    <w:rsid w:val="005F60AD"/>
    <w:rsid w:val="005F6316"/>
    <w:rsid w:val="0060091E"/>
    <w:rsid w:val="00605DAB"/>
    <w:rsid w:val="00610DAB"/>
    <w:rsid w:val="0061660C"/>
    <w:rsid w:val="006166FD"/>
    <w:rsid w:val="00616DE9"/>
    <w:rsid w:val="0061757F"/>
    <w:rsid w:val="006326AB"/>
    <w:rsid w:val="00633FE2"/>
    <w:rsid w:val="0063504F"/>
    <w:rsid w:val="00643649"/>
    <w:rsid w:val="006441ED"/>
    <w:rsid w:val="00645CD2"/>
    <w:rsid w:val="0065085F"/>
    <w:rsid w:val="00654361"/>
    <w:rsid w:val="0065695B"/>
    <w:rsid w:val="00657472"/>
    <w:rsid w:val="00657A40"/>
    <w:rsid w:val="00657E48"/>
    <w:rsid w:val="00660A8B"/>
    <w:rsid w:val="0066206E"/>
    <w:rsid w:val="00664ACE"/>
    <w:rsid w:val="006743AD"/>
    <w:rsid w:val="0068242A"/>
    <w:rsid w:val="00682613"/>
    <w:rsid w:val="00682B57"/>
    <w:rsid w:val="006847A3"/>
    <w:rsid w:val="00690277"/>
    <w:rsid w:val="0069219F"/>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39E7"/>
    <w:rsid w:val="007B59B6"/>
    <w:rsid w:val="007B7ADB"/>
    <w:rsid w:val="007C52E9"/>
    <w:rsid w:val="007E2555"/>
    <w:rsid w:val="007E3756"/>
    <w:rsid w:val="007F16DF"/>
    <w:rsid w:val="007F2A06"/>
    <w:rsid w:val="008044DD"/>
    <w:rsid w:val="00804BA1"/>
    <w:rsid w:val="00805E5D"/>
    <w:rsid w:val="00811EB5"/>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496F"/>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901B5"/>
    <w:rsid w:val="0099613A"/>
    <w:rsid w:val="00997518"/>
    <w:rsid w:val="009A379F"/>
    <w:rsid w:val="009A768F"/>
    <w:rsid w:val="009A7921"/>
    <w:rsid w:val="009B20D3"/>
    <w:rsid w:val="009B4050"/>
    <w:rsid w:val="009B592C"/>
    <w:rsid w:val="009B71B2"/>
    <w:rsid w:val="009C0409"/>
    <w:rsid w:val="009C12E9"/>
    <w:rsid w:val="009C7E18"/>
    <w:rsid w:val="009D1667"/>
    <w:rsid w:val="009D1D06"/>
    <w:rsid w:val="009D2E8A"/>
    <w:rsid w:val="009D3B18"/>
    <w:rsid w:val="009D3F39"/>
    <w:rsid w:val="009D457D"/>
    <w:rsid w:val="009D681C"/>
    <w:rsid w:val="009E0BD5"/>
    <w:rsid w:val="009E1C7F"/>
    <w:rsid w:val="009E361D"/>
    <w:rsid w:val="009E62EA"/>
    <w:rsid w:val="009E70A1"/>
    <w:rsid w:val="009E70FB"/>
    <w:rsid w:val="009F21F0"/>
    <w:rsid w:val="009F2583"/>
    <w:rsid w:val="009F3D83"/>
    <w:rsid w:val="009F7417"/>
    <w:rsid w:val="009F77A8"/>
    <w:rsid w:val="00A02FD6"/>
    <w:rsid w:val="00A12916"/>
    <w:rsid w:val="00A130D8"/>
    <w:rsid w:val="00A13E7F"/>
    <w:rsid w:val="00A14BAC"/>
    <w:rsid w:val="00A15B61"/>
    <w:rsid w:val="00A16062"/>
    <w:rsid w:val="00A2166F"/>
    <w:rsid w:val="00A21C1D"/>
    <w:rsid w:val="00A24B55"/>
    <w:rsid w:val="00A265BE"/>
    <w:rsid w:val="00A304AA"/>
    <w:rsid w:val="00A31617"/>
    <w:rsid w:val="00A33083"/>
    <w:rsid w:val="00A34CD2"/>
    <w:rsid w:val="00A37956"/>
    <w:rsid w:val="00A413E0"/>
    <w:rsid w:val="00A433AA"/>
    <w:rsid w:val="00A447B6"/>
    <w:rsid w:val="00A457AA"/>
    <w:rsid w:val="00A46196"/>
    <w:rsid w:val="00A47168"/>
    <w:rsid w:val="00A5274F"/>
    <w:rsid w:val="00A55855"/>
    <w:rsid w:val="00A60811"/>
    <w:rsid w:val="00A61620"/>
    <w:rsid w:val="00A62876"/>
    <w:rsid w:val="00A63D59"/>
    <w:rsid w:val="00A7369A"/>
    <w:rsid w:val="00A73F5F"/>
    <w:rsid w:val="00A76236"/>
    <w:rsid w:val="00A76F72"/>
    <w:rsid w:val="00A836AD"/>
    <w:rsid w:val="00A91FBB"/>
    <w:rsid w:val="00A9486C"/>
    <w:rsid w:val="00A967C7"/>
    <w:rsid w:val="00A9708D"/>
    <w:rsid w:val="00AA2C20"/>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1A8E"/>
    <w:rsid w:val="00AE5C5D"/>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2E7B"/>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30C9"/>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376CB"/>
    <w:rsid w:val="00C421CA"/>
    <w:rsid w:val="00C4344F"/>
    <w:rsid w:val="00C46385"/>
    <w:rsid w:val="00C5084D"/>
    <w:rsid w:val="00C508D6"/>
    <w:rsid w:val="00C51A75"/>
    <w:rsid w:val="00C5255D"/>
    <w:rsid w:val="00C5462E"/>
    <w:rsid w:val="00C57744"/>
    <w:rsid w:val="00C603EB"/>
    <w:rsid w:val="00C606EA"/>
    <w:rsid w:val="00C664BB"/>
    <w:rsid w:val="00C675CC"/>
    <w:rsid w:val="00C7069F"/>
    <w:rsid w:val="00C71718"/>
    <w:rsid w:val="00C7538F"/>
    <w:rsid w:val="00C76A20"/>
    <w:rsid w:val="00C77C7E"/>
    <w:rsid w:val="00C77D2A"/>
    <w:rsid w:val="00C809FF"/>
    <w:rsid w:val="00C9580A"/>
    <w:rsid w:val="00C9704F"/>
    <w:rsid w:val="00CA0D40"/>
    <w:rsid w:val="00CA3C33"/>
    <w:rsid w:val="00CA4369"/>
    <w:rsid w:val="00CA6583"/>
    <w:rsid w:val="00CB23CC"/>
    <w:rsid w:val="00CB28C9"/>
    <w:rsid w:val="00CB4D8F"/>
    <w:rsid w:val="00CB672B"/>
    <w:rsid w:val="00CB7211"/>
    <w:rsid w:val="00CB79B8"/>
    <w:rsid w:val="00CC02B5"/>
    <w:rsid w:val="00CC1A98"/>
    <w:rsid w:val="00CC6723"/>
    <w:rsid w:val="00CC7EC5"/>
    <w:rsid w:val="00CD45BE"/>
    <w:rsid w:val="00CD642B"/>
    <w:rsid w:val="00CD6A77"/>
    <w:rsid w:val="00CD6FEB"/>
    <w:rsid w:val="00CE61D3"/>
    <w:rsid w:val="00CE67DD"/>
    <w:rsid w:val="00CE70DF"/>
    <w:rsid w:val="00CF4683"/>
    <w:rsid w:val="00CF5258"/>
    <w:rsid w:val="00CF7148"/>
    <w:rsid w:val="00D01EF1"/>
    <w:rsid w:val="00D0245E"/>
    <w:rsid w:val="00D0259D"/>
    <w:rsid w:val="00D03DB3"/>
    <w:rsid w:val="00D047DC"/>
    <w:rsid w:val="00D04DA5"/>
    <w:rsid w:val="00D05907"/>
    <w:rsid w:val="00D05AFF"/>
    <w:rsid w:val="00D06C03"/>
    <w:rsid w:val="00D10A4C"/>
    <w:rsid w:val="00D11BBC"/>
    <w:rsid w:val="00D13EF1"/>
    <w:rsid w:val="00D144A8"/>
    <w:rsid w:val="00D15D08"/>
    <w:rsid w:val="00D20252"/>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C7259"/>
    <w:rsid w:val="00DD0539"/>
    <w:rsid w:val="00DE0D99"/>
    <w:rsid w:val="00DE584B"/>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4CC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F11"/>
    <w:rsid w:val="00E71207"/>
    <w:rsid w:val="00E727A7"/>
    <w:rsid w:val="00E73444"/>
    <w:rsid w:val="00E742A9"/>
    <w:rsid w:val="00E766D1"/>
    <w:rsid w:val="00E77F26"/>
    <w:rsid w:val="00E80BA2"/>
    <w:rsid w:val="00E855FF"/>
    <w:rsid w:val="00E97A65"/>
    <w:rsid w:val="00EA0966"/>
    <w:rsid w:val="00EA0FFC"/>
    <w:rsid w:val="00EA337F"/>
    <w:rsid w:val="00EA5A90"/>
    <w:rsid w:val="00EA7458"/>
    <w:rsid w:val="00EB092A"/>
    <w:rsid w:val="00EB1FF2"/>
    <w:rsid w:val="00EB6387"/>
    <w:rsid w:val="00EB7D50"/>
    <w:rsid w:val="00EC4562"/>
    <w:rsid w:val="00EC6878"/>
    <w:rsid w:val="00ED077F"/>
    <w:rsid w:val="00ED236B"/>
    <w:rsid w:val="00ED52EC"/>
    <w:rsid w:val="00ED58B7"/>
    <w:rsid w:val="00ED5923"/>
    <w:rsid w:val="00EE082D"/>
    <w:rsid w:val="00EE2B02"/>
    <w:rsid w:val="00EE31B3"/>
    <w:rsid w:val="00EE472A"/>
    <w:rsid w:val="00EF11A3"/>
    <w:rsid w:val="00EF6DEE"/>
    <w:rsid w:val="00F023B8"/>
    <w:rsid w:val="00F11DC3"/>
    <w:rsid w:val="00F20379"/>
    <w:rsid w:val="00F20E21"/>
    <w:rsid w:val="00F212C3"/>
    <w:rsid w:val="00F252AD"/>
    <w:rsid w:val="00F254A2"/>
    <w:rsid w:val="00F320EF"/>
    <w:rsid w:val="00F3218A"/>
    <w:rsid w:val="00F34787"/>
    <w:rsid w:val="00F358CB"/>
    <w:rsid w:val="00F363B5"/>
    <w:rsid w:val="00F4022A"/>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9467B"/>
    <w:rsid w:val="00F94CF4"/>
    <w:rsid w:val="00F96D22"/>
    <w:rsid w:val="00FA0267"/>
    <w:rsid w:val="00FA1FBB"/>
    <w:rsid w:val="00FB3AD9"/>
    <w:rsid w:val="00FC08B7"/>
    <w:rsid w:val="00FC2270"/>
    <w:rsid w:val="00FC5035"/>
    <w:rsid w:val="00FC6A8F"/>
    <w:rsid w:val="00FD12C8"/>
    <w:rsid w:val="00FD28D3"/>
    <w:rsid w:val="00FD413B"/>
    <w:rsid w:val="00FD4E3A"/>
    <w:rsid w:val="00FD54FE"/>
    <w:rsid w:val="00FD6260"/>
    <w:rsid w:val="00FD70D0"/>
    <w:rsid w:val="00FE7D95"/>
    <w:rsid w:val="00FF384F"/>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2534597D-0C3F-4969-A521-C1A3BB9E4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2846</Words>
  <Characters>16224</Characters>
  <Application>Microsoft Office Word</Application>
  <DocSecurity>0</DocSecurity>
  <Lines>135</Lines>
  <Paragraphs>38</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19032</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2012-10-24T10:31:00Z</cp:lastPrinted>
  <dcterms:created xsi:type="dcterms:W3CDTF">2012-11-22T08:50:00Z</dcterms:created>
  <dcterms:modified xsi:type="dcterms:W3CDTF">2012-11-28T16:57:00Z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